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1054" w:rsidRDefault="004077C0">
      <w:pPr>
        <w:autoSpaceDE/>
        <w:autoSpaceDN/>
        <w:adjustRightInd/>
        <w:spacing w:after="0"/>
        <w:jc w:val="left"/>
        <w:sectPr w:rsidR="00641054" w:rsidSect="00641054">
          <w:headerReference w:type="default" r:id="rId8"/>
          <w:headerReference w:type="first" r:id="rId9"/>
          <w:pgSz w:w="11900" w:h="16840" w:code="9"/>
          <w:pgMar w:top="720" w:right="720" w:bottom="720" w:left="720" w:header="709" w:footer="709" w:gutter="0"/>
          <w:cols w:space="292"/>
          <w:titlePg/>
          <w:docGrid w:linePitch="326"/>
        </w:sectPr>
      </w:pP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219694</wp:posOffset>
                </wp:positionH>
                <wp:positionV relativeFrom="paragraph">
                  <wp:posOffset>6039312</wp:posOffset>
                </wp:positionV>
                <wp:extent cx="5866410" cy="177165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41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FF0" w:rsidRDefault="001A6FF0" w:rsidP="00DC33CB">
                            <w:pPr>
                              <w:pStyle w:val="Title"/>
                              <w:spacing w:after="0"/>
                              <w:rPr>
                                <w:b/>
                                <w:color w:val="000000"/>
                              </w:rPr>
                            </w:pPr>
                            <w:r>
                              <w:rPr>
                                <w:b/>
                                <w:color w:val="000000"/>
                              </w:rPr>
                              <w:t>Lancashire DToC Nov-17</w:t>
                            </w:r>
                          </w:p>
                          <w:p w:rsidR="001A6FF0" w:rsidRDefault="001A6FF0" w:rsidP="00F30BDA"/>
                          <w:p w:rsidR="001A6FF0" w:rsidRPr="00F30BDA" w:rsidRDefault="001A6FF0" w:rsidP="00F30BDA">
                            <w:pPr>
                              <w:rPr>
                                <w:b/>
                                <w:sz w:val="40"/>
                                <w:szCs w:val="40"/>
                              </w:rPr>
                            </w:pPr>
                            <w:r>
                              <w:rPr>
                                <w:b/>
                                <w:sz w:val="40"/>
                                <w:szCs w:val="40"/>
                              </w:rPr>
                              <w:t>Delayed Transfers of Care (DToC)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7.3pt;margin-top:475.55pt;width:461.9pt;height:13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2M+tgIAALoFAAAOAAAAZHJzL2Uyb0RvYy54bWysVNtunDAQfa/Uf7D8ToCtYQGFjZJlqSql&#10;FynpB3jBLFbBprZ32bTqv3ds9pbkpWrLA7I94zOXczzXN/u+QzumNJcix+FVgBETlay52OT462Pp&#10;JRhpQ0VNOylYjp+YxjeLt2+uxyFjM9nKrmYKAYjQ2TjkuDVmyHxfVy3rqb6SAxNgbKTqqYGt2vi1&#10;oiOg950/C4LYH6WqByUrpjWcFpMRLxx+07DKfG4azQzqcgy5GfdX7r+2f39xTbONokPLq0Ma9C+y&#10;6CkXEPQEVVBD0VbxV1A9r5TUsjFXlex92TS8Yq4GqCYMXlTz0NKBuVqgOXo4tUn/P9jq0+6LQrzO&#10;8TuMBO2Boke2N+hO7hGx3RkHnYHTwwBuZg/HwLKrVA/3svqmkZDLlooNu1VKji2jNWQX2pv+xdUJ&#10;R1uQ9fhR1hCGbo10QPtG9bZ10AwE6MDS04kZm0oFh1ESxyQEUwW2cD4P48hx59PseH1Q2rxnskd2&#10;kWMF1Dt4urvXxqZDs6OLjSZkybvO0d+JZwfgOJ1AcLhqbTYNx+bPNEhXySohHpnFK48EReHdlkvi&#10;xWU4j4p3xXJZhL9s3JBkLa9rJmyYo7JC8mfMHTQ+aeKkLS07Xls4m5JWm/WyU2hHQdml+1zTwXJ2&#10;85+n4ZoAtbwoKZyR4G6WemWczD1SkshL50HiBWF6l8YBSUlRPi/pngv27yWhMcdpNIsmNZ2TflFb&#10;4L7XtdGs5wZmR8f7HCcnJ5pZDa5E7ag1lHfT+qIVNv1zK4DuI9FOsVakk1zNfr0HFCvjtayfQLtK&#10;grJAhTDwYNFK9QOjEYZHjvX3LVUMo+6DAP2nISF22rgNieYz2KhLy/rSQkUFUDk2GE3LpZkm1HZQ&#10;fNNCpOnFCXkLb6bhTs3nrA4vDQaEK+owzOwEutw7r/PIXfwGAAD//wMAUEsDBBQABgAIAAAAIQD+&#10;L5rS3wAAAAsBAAAPAAAAZHJzL2Rvd25yZXYueG1sTI/BTsMwEETvSPyDtUjcqJ02qZoQp0IgriAK&#10;VOrNjbdJRLyOYrcJf89yguNqnmbeltvZ9eKCY+g8aUgWCgRS7W1HjYaP9+e7DYgQDVnTe0IN3xhg&#10;W11flaawfqI3vOxiI7iEQmE0tDEOhZShbtGZsPADEmcnPzoT+RwbaUczcbnr5VKptXSmI15ozYCP&#10;LdZfu7PT8PlyOuxT9do8uWyY/KwkuVxqfXszP9yDiDjHPxh+9VkdKnY6+jPZIHoNq3TNpIY8SxIQ&#10;DOTZJgVxZHK5UgnIqpT/f6h+AAAA//8DAFBLAQItABQABgAIAAAAIQC2gziS/gAAAOEBAAATAAAA&#10;AAAAAAAAAAAAAAAAAABbQ29udGVudF9UeXBlc10ueG1sUEsBAi0AFAAGAAgAAAAhADj9If/WAAAA&#10;lAEAAAsAAAAAAAAAAAAAAAAALwEAAF9yZWxzLy5yZWxzUEsBAi0AFAAGAAgAAAAhAEirYz62AgAA&#10;ugUAAA4AAAAAAAAAAAAAAAAALgIAAGRycy9lMm9Eb2MueG1sUEsBAi0AFAAGAAgAAAAhAP4vmtLf&#10;AAAACwEAAA8AAAAAAAAAAAAAAAAAEAUAAGRycy9kb3ducmV2LnhtbFBLBQYAAAAABAAEAPMAAAAc&#10;BgAAAAA=&#10;" filled="f" stroked="f">
                <v:textbox>
                  <w:txbxContent>
                    <w:p w:rsidR="001A6FF0" w:rsidRDefault="001A6FF0" w:rsidP="00DC33CB">
                      <w:pPr>
                        <w:pStyle w:val="Title"/>
                        <w:spacing w:after="0"/>
                        <w:rPr>
                          <w:b/>
                          <w:color w:val="000000"/>
                        </w:rPr>
                      </w:pPr>
                      <w:r>
                        <w:rPr>
                          <w:b/>
                          <w:color w:val="000000"/>
                        </w:rPr>
                        <w:t>Lancashire DToC Nov-17</w:t>
                      </w:r>
                    </w:p>
                    <w:p w:rsidR="001A6FF0" w:rsidRDefault="001A6FF0" w:rsidP="00F30BDA"/>
                    <w:p w:rsidR="001A6FF0" w:rsidRPr="00F30BDA" w:rsidRDefault="001A6FF0" w:rsidP="00F30BDA">
                      <w:pPr>
                        <w:rPr>
                          <w:b/>
                          <w:sz w:val="40"/>
                          <w:szCs w:val="40"/>
                        </w:rPr>
                      </w:pPr>
                      <w:r>
                        <w:rPr>
                          <w:b/>
                          <w:sz w:val="40"/>
                          <w:szCs w:val="40"/>
                        </w:rPr>
                        <w:t>Delayed Transfers of Care (DToC) Analysis</w:t>
                      </w:r>
                    </w:p>
                  </w:txbxContent>
                </v:textbox>
              </v:shape>
            </w:pict>
          </mc:Fallback>
        </mc:AlternateContent>
      </w:r>
    </w:p>
    <w:p w:rsidR="001F3465" w:rsidRDefault="001F3465" w:rsidP="00DA4222">
      <w:pPr>
        <w:rPr>
          <w:rFonts w:cs="Arial"/>
          <w:b/>
          <w:sz w:val="32"/>
          <w:szCs w:val="32"/>
        </w:rPr>
      </w:pPr>
      <w:bookmarkStart w:id="0" w:name="_Toc304199307"/>
      <w:r>
        <w:rPr>
          <w:rFonts w:cs="Arial"/>
          <w:b/>
          <w:sz w:val="32"/>
          <w:szCs w:val="32"/>
        </w:rPr>
        <w:lastRenderedPageBreak/>
        <w:t>Data Sources Used in this Report</w:t>
      </w:r>
    </w:p>
    <w:p w:rsidR="006960C9" w:rsidRDefault="001F3465" w:rsidP="00DA4222">
      <w:pPr>
        <w:rPr>
          <w:rFonts w:cs="Arial"/>
          <w:b/>
          <w:szCs w:val="30"/>
        </w:rPr>
      </w:pPr>
      <w:r w:rsidRPr="001F3465">
        <w:rPr>
          <w:rFonts w:cs="Arial"/>
          <w:b/>
          <w:szCs w:val="30"/>
        </w:rPr>
        <w:t>DToC</w:t>
      </w:r>
    </w:p>
    <w:p w:rsidR="006960C9" w:rsidRDefault="006960C9" w:rsidP="00DA4222">
      <w:pPr>
        <w:rPr>
          <w:rFonts w:cs="Arial"/>
          <w:szCs w:val="30"/>
        </w:rPr>
      </w:pPr>
      <w:r>
        <w:rPr>
          <w:rFonts w:cs="Arial"/>
          <w:szCs w:val="30"/>
        </w:rPr>
        <w:t>A</w:t>
      </w:r>
      <w:r w:rsidR="001F3465" w:rsidRPr="006960C9">
        <w:rPr>
          <w:rFonts w:cs="Arial"/>
          <w:szCs w:val="30"/>
        </w:rPr>
        <w:t xml:space="preserve">ll </w:t>
      </w:r>
      <w:r>
        <w:rPr>
          <w:rFonts w:cs="Arial"/>
          <w:szCs w:val="30"/>
        </w:rPr>
        <w:t>figures</w:t>
      </w:r>
      <w:r w:rsidR="001F3465" w:rsidRPr="006960C9">
        <w:rPr>
          <w:rFonts w:cs="Arial"/>
          <w:szCs w:val="30"/>
        </w:rPr>
        <w:t xml:space="preserve"> relating to the number of delayed days or the number of DToC bed days have been taken from the </w:t>
      </w:r>
      <w:r>
        <w:rPr>
          <w:rFonts w:cs="Arial"/>
          <w:szCs w:val="30"/>
        </w:rPr>
        <w:t xml:space="preserve">CSV Format Monthly Delayed Transfers of Care files as published on the </w:t>
      </w:r>
      <w:r w:rsidR="001F3465" w:rsidRPr="006960C9">
        <w:rPr>
          <w:rFonts w:cs="Arial"/>
          <w:szCs w:val="30"/>
        </w:rPr>
        <w:t>NHS website</w:t>
      </w:r>
      <w:r>
        <w:rPr>
          <w:rFonts w:cs="Arial"/>
          <w:szCs w:val="30"/>
        </w:rPr>
        <w:t xml:space="preserve"> on the second Thursday of each month at:</w:t>
      </w:r>
    </w:p>
    <w:p w:rsidR="006960C9" w:rsidRPr="00166E9B" w:rsidRDefault="007F195D" w:rsidP="00DA4222">
      <w:pPr>
        <w:rPr>
          <w:rFonts w:cs="Arial"/>
          <w:szCs w:val="30"/>
        </w:rPr>
      </w:pPr>
      <w:hyperlink r:id="rId10" w:history="1">
        <w:r w:rsidR="006960C9" w:rsidRPr="00166E9B">
          <w:rPr>
            <w:rStyle w:val="Hyperlink"/>
            <w:szCs w:val="30"/>
          </w:rPr>
          <w:t>https://www.england.nhs.uk/statistics/statistical-work-areas/delayed-transfers-of-care/</w:t>
        </w:r>
      </w:hyperlink>
    </w:p>
    <w:p w:rsidR="001F3465" w:rsidRDefault="001F3465" w:rsidP="00DA4222">
      <w:pPr>
        <w:rPr>
          <w:rFonts w:cs="Arial"/>
          <w:b/>
          <w:szCs w:val="30"/>
        </w:rPr>
      </w:pPr>
      <w:r>
        <w:rPr>
          <w:rFonts w:cs="Arial"/>
          <w:b/>
          <w:szCs w:val="30"/>
        </w:rPr>
        <w:t>Population</w:t>
      </w:r>
    </w:p>
    <w:p w:rsidR="006960C9" w:rsidRPr="006960C9" w:rsidRDefault="00B20638" w:rsidP="00DA4222">
      <w:pPr>
        <w:rPr>
          <w:rFonts w:cs="Arial"/>
          <w:szCs w:val="30"/>
        </w:rPr>
      </w:pPr>
      <w:r>
        <w:rPr>
          <w:rFonts w:cs="Arial"/>
          <w:szCs w:val="30"/>
        </w:rPr>
        <w:t>Rates per 100,000 p</w:t>
      </w:r>
      <w:r w:rsidR="006960C9" w:rsidRPr="006960C9">
        <w:rPr>
          <w:rFonts w:cs="Arial"/>
          <w:szCs w:val="30"/>
        </w:rPr>
        <w:t xml:space="preserve">opulation </w:t>
      </w:r>
      <w:r w:rsidR="006960C9">
        <w:rPr>
          <w:rFonts w:cs="Arial"/>
          <w:szCs w:val="30"/>
        </w:rPr>
        <w:t>for each local authority</w:t>
      </w:r>
      <w:r w:rsidR="00166E9B">
        <w:rPr>
          <w:rFonts w:cs="Arial"/>
          <w:szCs w:val="30"/>
        </w:rPr>
        <w:t xml:space="preserve"> use the </w:t>
      </w:r>
      <w:r>
        <w:rPr>
          <w:rFonts w:cs="Arial"/>
          <w:szCs w:val="30"/>
        </w:rPr>
        <w:t xml:space="preserve">appropriate </w:t>
      </w:r>
      <w:r w:rsidR="00166E9B">
        <w:rPr>
          <w:rFonts w:cs="Arial"/>
          <w:szCs w:val="30"/>
        </w:rPr>
        <w:t>mid-year estimates for the population aged 18+ as produced by the O</w:t>
      </w:r>
      <w:r>
        <w:rPr>
          <w:rFonts w:cs="Arial"/>
          <w:szCs w:val="30"/>
        </w:rPr>
        <w:t xml:space="preserve">ffice for National </w:t>
      </w:r>
      <w:r w:rsidR="00166E9B">
        <w:rPr>
          <w:rFonts w:cs="Arial"/>
          <w:szCs w:val="30"/>
        </w:rPr>
        <w:t>S</w:t>
      </w:r>
      <w:r>
        <w:rPr>
          <w:rFonts w:cs="Arial"/>
          <w:szCs w:val="30"/>
        </w:rPr>
        <w:t>tatistics</w:t>
      </w:r>
      <w:r w:rsidR="00166E9B">
        <w:rPr>
          <w:rFonts w:cs="Arial"/>
          <w:szCs w:val="30"/>
        </w:rPr>
        <w:t xml:space="preserve"> each year.</w:t>
      </w:r>
    </w:p>
    <w:p w:rsidR="001F3465" w:rsidRDefault="001F3465" w:rsidP="00DA4222">
      <w:pPr>
        <w:rPr>
          <w:rFonts w:cs="Arial"/>
          <w:b/>
          <w:sz w:val="32"/>
          <w:szCs w:val="32"/>
        </w:rPr>
      </w:pPr>
    </w:p>
    <w:p w:rsidR="00DA4222" w:rsidRPr="00F87861" w:rsidRDefault="00DA4222" w:rsidP="00DA4222">
      <w:pPr>
        <w:rPr>
          <w:rFonts w:cs="Arial"/>
          <w:b/>
          <w:sz w:val="32"/>
          <w:szCs w:val="32"/>
        </w:rPr>
      </w:pPr>
      <w:r w:rsidRPr="00F87861">
        <w:rPr>
          <w:rFonts w:cs="Arial"/>
          <w:b/>
          <w:sz w:val="32"/>
          <w:szCs w:val="32"/>
        </w:rPr>
        <w:t>Version Control</w:t>
      </w:r>
    </w:p>
    <w:p w:rsidR="00DA4222" w:rsidRPr="00F87861" w:rsidRDefault="00DA4222" w:rsidP="00C33145">
      <w:pPr>
        <w:rPr>
          <w:rFonts w:cs="Arial"/>
          <w:b/>
          <w:szCs w:val="30"/>
        </w:rPr>
      </w:pPr>
      <w:r w:rsidRPr="00F87861">
        <w:rPr>
          <w:rFonts w:cs="Arial"/>
          <w:b/>
          <w:szCs w:val="30"/>
        </w:rPr>
        <w:t>Document name:</w:t>
      </w:r>
      <w:r w:rsidRPr="00F87861">
        <w:rPr>
          <w:rFonts w:cs="Arial"/>
          <w:b/>
          <w:szCs w:val="30"/>
        </w:rPr>
        <w:tab/>
      </w:r>
      <w:r>
        <w:rPr>
          <w:rFonts w:cs="Arial"/>
          <w:b/>
          <w:szCs w:val="30"/>
        </w:rPr>
        <w:t>Lancashire DToC Nov-17</w:t>
      </w:r>
      <w:r w:rsidRPr="00F87861">
        <w:rPr>
          <w:rFonts w:cs="Arial"/>
          <w:b/>
          <w:szCs w:val="30"/>
        </w:rPr>
        <w:tab/>
      </w:r>
    </w:p>
    <w:p w:rsidR="00DA4222" w:rsidRDefault="00DA4222" w:rsidP="00C33145">
      <w:pPr>
        <w:rPr>
          <w:rFonts w:cs="Arial"/>
          <w:b/>
          <w:szCs w:val="30"/>
        </w:rPr>
      </w:pPr>
      <w:r w:rsidRPr="00D42019">
        <w:rPr>
          <w:rFonts w:cs="Arial"/>
          <w:b/>
          <w:szCs w:val="30"/>
        </w:rPr>
        <w:t>Version</w:t>
      </w:r>
      <w:r w:rsidR="001A6FF0">
        <w:rPr>
          <w:rFonts w:cs="Arial"/>
          <w:b/>
          <w:szCs w:val="30"/>
        </w:rPr>
        <w:t xml:space="preserve">: </w:t>
      </w:r>
      <w:r w:rsidR="001A6FF0">
        <w:rPr>
          <w:rFonts w:cs="Arial"/>
          <w:b/>
          <w:szCs w:val="30"/>
        </w:rPr>
        <w:tab/>
        <w:t>02</w:t>
      </w:r>
    </w:p>
    <w:p w:rsidR="00DA4222" w:rsidRDefault="00DA4222" w:rsidP="00C33145">
      <w:pPr>
        <w:rPr>
          <w:rFonts w:cs="Arial"/>
          <w:b/>
          <w:szCs w:val="30"/>
        </w:rPr>
      </w:pPr>
      <w:r>
        <w:rPr>
          <w:rFonts w:cs="Arial"/>
          <w:b/>
          <w:szCs w:val="30"/>
        </w:rPr>
        <w:t xml:space="preserve">Date: </w:t>
      </w:r>
      <w:r>
        <w:rPr>
          <w:rFonts w:cs="Arial"/>
          <w:b/>
          <w:szCs w:val="30"/>
        </w:rPr>
        <w:tab/>
      </w:r>
      <w:r>
        <w:rPr>
          <w:rFonts w:cs="Arial"/>
          <w:b/>
          <w:szCs w:val="30"/>
        </w:rPr>
        <w:tab/>
        <w:t>1</w:t>
      </w:r>
      <w:r w:rsidR="001A6FF0">
        <w:rPr>
          <w:rFonts w:cs="Arial"/>
          <w:b/>
          <w:szCs w:val="30"/>
        </w:rPr>
        <w:t>2</w:t>
      </w:r>
      <w:r>
        <w:rPr>
          <w:rFonts w:cs="Arial"/>
          <w:b/>
          <w:szCs w:val="30"/>
        </w:rPr>
        <w:t xml:space="preserve"> January 2018</w:t>
      </w:r>
    </w:p>
    <w:p w:rsidR="00DA4222" w:rsidRPr="00DE3D98" w:rsidRDefault="00DA4222" w:rsidP="00C33145">
      <w:pPr>
        <w:rPr>
          <w:rFonts w:cs="Arial"/>
          <w:b/>
        </w:rPr>
      </w:pPr>
      <w:r w:rsidRPr="00DE3D98">
        <w:rPr>
          <w:rFonts w:cs="Arial"/>
          <w:b/>
        </w:rPr>
        <w:t>Document control / revision history</w:t>
      </w:r>
    </w:p>
    <w:tbl>
      <w:tblPr>
        <w:tblW w:w="949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1842"/>
        <w:gridCol w:w="5642"/>
      </w:tblGrid>
      <w:tr w:rsidR="00DA4222" w:rsidRPr="00B236FB" w:rsidTr="00DA4222">
        <w:trPr>
          <w:trHeight w:val="20"/>
        </w:trPr>
        <w:tc>
          <w:tcPr>
            <w:tcW w:w="2014" w:type="dxa"/>
            <w:shd w:val="clear" w:color="auto" w:fill="D9D9D9"/>
            <w:vAlign w:val="center"/>
          </w:tcPr>
          <w:p w:rsidR="00DA4222" w:rsidRPr="00503380" w:rsidRDefault="00DA4222" w:rsidP="001A6FF0">
            <w:pPr>
              <w:spacing w:after="0"/>
              <w:rPr>
                <w:rFonts w:cs="Arial"/>
                <w:b/>
              </w:rPr>
            </w:pPr>
            <w:r w:rsidRPr="00503380">
              <w:rPr>
                <w:rFonts w:cs="Arial"/>
                <w:b/>
              </w:rPr>
              <w:t xml:space="preserve">Version </w:t>
            </w:r>
          </w:p>
        </w:tc>
        <w:tc>
          <w:tcPr>
            <w:tcW w:w="1842" w:type="dxa"/>
            <w:shd w:val="clear" w:color="auto" w:fill="D9D9D9"/>
            <w:vAlign w:val="center"/>
          </w:tcPr>
          <w:p w:rsidR="00DA4222" w:rsidRPr="00503380" w:rsidRDefault="00DA4222" w:rsidP="001A6FF0">
            <w:pPr>
              <w:spacing w:after="0"/>
              <w:rPr>
                <w:rFonts w:cs="Arial"/>
                <w:b/>
              </w:rPr>
            </w:pPr>
            <w:r w:rsidRPr="00503380">
              <w:rPr>
                <w:rFonts w:cs="Arial"/>
                <w:b/>
              </w:rPr>
              <w:t>Revision date</w:t>
            </w:r>
          </w:p>
        </w:tc>
        <w:tc>
          <w:tcPr>
            <w:tcW w:w="5642" w:type="dxa"/>
            <w:shd w:val="clear" w:color="auto" w:fill="D9D9D9"/>
            <w:vAlign w:val="center"/>
          </w:tcPr>
          <w:p w:rsidR="00DA4222" w:rsidRPr="00503380" w:rsidRDefault="00DA4222" w:rsidP="001A6FF0">
            <w:pPr>
              <w:spacing w:after="0"/>
              <w:rPr>
                <w:rFonts w:cs="Arial"/>
                <w:b/>
              </w:rPr>
            </w:pPr>
            <w:r w:rsidRPr="00503380">
              <w:rPr>
                <w:rFonts w:cs="Arial"/>
                <w:b/>
              </w:rPr>
              <w:t>Summary of changes</w:t>
            </w:r>
          </w:p>
        </w:tc>
      </w:tr>
      <w:tr w:rsidR="00DA4222" w:rsidRPr="00B236FB" w:rsidTr="00DA4222">
        <w:trPr>
          <w:trHeight w:val="454"/>
        </w:trPr>
        <w:tc>
          <w:tcPr>
            <w:tcW w:w="2014" w:type="dxa"/>
            <w:vAlign w:val="center"/>
          </w:tcPr>
          <w:p w:rsidR="00DA4222" w:rsidRPr="00DA4222" w:rsidRDefault="00DA4222" w:rsidP="001A6FF0">
            <w:pPr>
              <w:spacing w:after="0"/>
              <w:ind w:right="-24"/>
              <w:rPr>
                <w:rFonts w:cs="Arial"/>
              </w:rPr>
            </w:pPr>
            <w:r>
              <w:rPr>
                <w:rFonts w:cs="Arial"/>
              </w:rPr>
              <w:t>0</w:t>
            </w:r>
            <w:r w:rsidRPr="00DA4222">
              <w:rPr>
                <w:rFonts w:cs="Arial"/>
              </w:rPr>
              <w:t>1</w:t>
            </w:r>
          </w:p>
        </w:tc>
        <w:tc>
          <w:tcPr>
            <w:tcW w:w="1842" w:type="dxa"/>
            <w:vAlign w:val="center"/>
          </w:tcPr>
          <w:p w:rsidR="00DA4222" w:rsidRPr="00DA4222" w:rsidRDefault="00DA4222" w:rsidP="00DA4222">
            <w:pPr>
              <w:spacing w:after="0"/>
              <w:rPr>
                <w:rFonts w:cs="Arial"/>
              </w:rPr>
            </w:pPr>
            <w:r w:rsidRPr="00DA4222">
              <w:rPr>
                <w:rFonts w:cs="Arial"/>
              </w:rPr>
              <w:t>1</w:t>
            </w:r>
            <w:r>
              <w:rPr>
                <w:rFonts w:cs="Arial"/>
              </w:rPr>
              <w:t>1/01/2018</w:t>
            </w:r>
          </w:p>
        </w:tc>
        <w:tc>
          <w:tcPr>
            <w:tcW w:w="5642" w:type="dxa"/>
            <w:vAlign w:val="center"/>
          </w:tcPr>
          <w:p w:rsidR="00DA4222" w:rsidRPr="00DA4222" w:rsidRDefault="00DA4222" w:rsidP="001A6FF0">
            <w:pPr>
              <w:spacing w:after="0"/>
              <w:rPr>
                <w:rFonts w:cs="Arial"/>
              </w:rPr>
            </w:pPr>
          </w:p>
        </w:tc>
      </w:tr>
      <w:tr w:rsidR="00DA4222" w:rsidRPr="00B236FB" w:rsidTr="00DA4222">
        <w:trPr>
          <w:trHeight w:val="454"/>
        </w:trPr>
        <w:tc>
          <w:tcPr>
            <w:tcW w:w="2014" w:type="dxa"/>
            <w:vAlign w:val="center"/>
          </w:tcPr>
          <w:p w:rsidR="00DA4222" w:rsidRPr="00DA4222" w:rsidRDefault="001A6FF0" w:rsidP="001A6FF0">
            <w:pPr>
              <w:spacing w:after="0"/>
              <w:ind w:right="-24"/>
              <w:rPr>
                <w:rFonts w:cs="Arial"/>
              </w:rPr>
            </w:pPr>
            <w:r>
              <w:rPr>
                <w:rFonts w:cs="Arial"/>
              </w:rPr>
              <w:t>02</w:t>
            </w:r>
          </w:p>
        </w:tc>
        <w:tc>
          <w:tcPr>
            <w:tcW w:w="1842" w:type="dxa"/>
            <w:vAlign w:val="center"/>
          </w:tcPr>
          <w:p w:rsidR="00DA4222" w:rsidRPr="00DA4222" w:rsidRDefault="001A6FF0" w:rsidP="001A6FF0">
            <w:pPr>
              <w:spacing w:after="0"/>
              <w:rPr>
                <w:rFonts w:cs="Arial"/>
              </w:rPr>
            </w:pPr>
            <w:r>
              <w:rPr>
                <w:rFonts w:cs="Arial"/>
              </w:rPr>
              <w:t>12/01/2018</w:t>
            </w:r>
          </w:p>
        </w:tc>
        <w:tc>
          <w:tcPr>
            <w:tcW w:w="5642" w:type="dxa"/>
            <w:vAlign w:val="center"/>
          </w:tcPr>
          <w:p w:rsidR="00DA4222" w:rsidRPr="00DA4222" w:rsidRDefault="001A6FF0" w:rsidP="001A6FF0">
            <w:pPr>
              <w:spacing w:after="0"/>
              <w:rPr>
                <w:rFonts w:cs="Arial"/>
              </w:rPr>
            </w:pPr>
            <w:r>
              <w:rPr>
                <w:rFonts w:cs="Arial"/>
              </w:rPr>
              <w:t>Addition of data source</w:t>
            </w:r>
            <w:r w:rsidR="00166E9B">
              <w:rPr>
                <w:rFonts w:cs="Arial"/>
              </w:rPr>
              <w:t>s</w:t>
            </w:r>
            <w:r>
              <w:rPr>
                <w:rFonts w:cs="Arial"/>
              </w:rPr>
              <w:t xml:space="preserve"> note</w:t>
            </w:r>
            <w:r w:rsidR="00166E9B">
              <w:rPr>
                <w:rFonts w:cs="Arial"/>
              </w:rPr>
              <w:t xml:space="preserve"> on page 1</w:t>
            </w:r>
          </w:p>
        </w:tc>
      </w:tr>
      <w:tr w:rsidR="00DA4222" w:rsidRPr="00B236FB" w:rsidTr="00DA4222">
        <w:trPr>
          <w:trHeight w:val="454"/>
        </w:trPr>
        <w:tc>
          <w:tcPr>
            <w:tcW w:w="2014" w:type="dxa"/>
            <w:vAlign w:val="center"/>
          </w:tcPr>
          <w:p w:rsidR="00DA4222" w:rsidRPr="00DA4222" w:rsidRDefault="00DA4222" w:rsidP="001A6FF0">
            <w:pPr>
              <w:spacing w:after="0"/>
              <w:ind w:right="-24"/>
              <w:rPr>
                <w:rFonts w:cs="Arial"/>
              </w:rPr>
            </w:pPr>
          </w:p>
        </w:tc>
        <w:tc>
          <w:tcPr>
            <w:tcW w:w="1842" w:type="dxa"/>
            <w:vAlign w:val="center"/>
          </w:tcPr>
          <w:p w:rsidR="00DA4222" w:rsidRPr="00DA4222" w:rsidRDefault="00DA4222" w:rsidP="001A6FF0">
            <w:pPr>
              <w:spacing w:after="0"/>
              <w:rPr>
                <w:rFonts w:cs="Arial"/>
              </w:rPr>
            </w:pPr>
          </w:p>
        </w:tc>
        <w:tc>
          <w:tcPr>
            <w:tcW w:w="5642" w:type="dxa"/>
            <w:vAlign w:val="center"/>
          </w:tcPr>
          <w:p w:rsidR="00DA4222" w:rsidRPr="00DA4222" w:rsidRDefault="00DA4222" w:rsidP="001A6FF0">
            <w:pPr>
              <w:spacing w:after="0"/>
              <w:rPr>
                <w:rFonts w:cs="Arial"/>
              </w:rPr>
            </w:pPr>
          </w:p>
        </w:tc>
      </w:tr>
    </w:tbl>
    <w:p w:rsidR="00DA4222" w:rsidRPr="00F87861" w:rsidRDefault="00DA4222" w:rsidP="00DA4222">
      <w:pPr>
        <w:spacing w:after="0"/>
        <w:rPr>
          <w:rFonts w:cs="Arial"/>
          <w:b/>
          <w:sz w:val="20"/>
        </w:rPr>
      </w:pPr>
    </w:p>
    <w:p w:rsidR="00DF5F8E" w:rsidRDefault="00D20769" w:rsidP="00D20769">
      <w:pPr>
        <w:pStyle w:val="BodyText1"/>
        <w:rPr>
          <w:b/>
          <w:szCs w:val="22"/>
        </w:rPr>
      </w:pPr>
      <w:r w:rsidRPr="00D20769">
        <w:rPr>
          <w:b/>
          <w:szCs w:val="22"/>
        </w:rPr>
        <w:t>Andrew MacLeod</w:t>
      </w:r>
    </w:p>
    <w:p w:rsidR="00D20769" w:rsidRDefault="00D20769" w:rsidP="00D20769">
      <w:pPr>
        <w:pStyle w:val="BodyText1"/>
        <w:rPr>
          <w:b/>
          <w:szCs w:val="22"/>
        </w:rPr>
      </w:pPr>
      <w:r w:rsidRPr="00D20769">
        <w:rPr>
          <w:b/>
          <w:szCs w:val="22"/>
        </w:rPr>
        <w:t>Performance Officer</w:t>
      </w:r>
    </w:p>
    <w:p w:rsidR="00DF5F8E" w:rsidRDefault="00DF5F8E" w:rsidP="00D20769">
      <w:pPr>
        <w:pStyle w:val="BodyText1"/>
        <w:rPr>
          <w:b/>
          <w:szCs w:val="22"/>
        </w:rPr>
      </w:pPr>
      <w:r>
        <w:rPr>
          <w:b/>
          <w:szCs w:val="22"/>
        </w:rPr>
        <w:t>Business Intelligence</w:t>
      </w:r>
    </w:p>
    <w:p w:rsidR="00DF5F8E" w:rsidRPr="00D20769" w:rsidRDefault="00DF5F8E" w:rsidP="00D20769">
      <w:pPr>
        <w:pStyle w:val="BodyText1"/>
        <w:rPr>
          <w:b/>
          <w:szCs w:val="22"/>
        </w:rPr>
      </w:pPr>
      <w:r>
        <w:rPr>
          <w:b/>
          <w:szCs w:val="22"/>
        </w:rPr>
        <w:t>Lancashire County Council</w:t>
      </w:r>
    </w:p>
    <w:p w:rsidR="00DA4222" w:rsidRDefault="00DA4222" w:rsidP="001553A9">
      <w:pPr>
        <w:pStyle w:val="BodyText1"/>
      </w:pPr>
    </w:p>
    <w:p w:rsidR="001553A9" w:rsidRPr="00314200" w:rsidRDefault="001553A9" w:rsidP="001553A9">
      <w:pPr>
        <w:pStyle w:val="BodyText1"/>
        <w:spacing w:before="0" w:line="360" w:lineRule="exact"/>
        <w:rPr>
          <w:szCs w:val="24"/>
        </w:rPr>
      </w:pPr>
      <w:r w:rsidRPr="00314200">
        <w:rPr>
          <w:szCs w:val="24"/>
        </w:rPr>
        <w:t>For further information on the work of Business Intelligence, please contact us at:</w:t>
      </w:r>
    </w:p>
    <w:p w:rsidR="001553A9" w:rsidRPr="00314200" w:rsidRDefault="001553A9" w:rsidP="00F30BDA">
      <w:pPr>
        <w:pStyle w:val="BodyText1"/>
        <w:spacing w:before="0" w:after="0"/>
        <w:rPr>
          <w:szCs w:val="24"/>
        </w:rPr>
      </w:pPr>
      <w:r w:rsidRPr="00314200">
        <w:rPr>
          <w:szCs w:val="24"/>
        </w:rPr>
        <w:t>Business Intelligence</w:t>
      </w:r>
    </w:p>
    <w:p w:rsidR="001553A9" w:rsidRPr="00314200" w:rsidRDefault="001553A9" w:rsidP="00F30BDA">
      <w:pPr>
        <w:pStyle w:val="BodyText1"/>
        <w:spacing w:before="0" w:after="0"/>
        <w:rPr>
          <w:szCs w:val="24"/>
        </w:rPr>
      </w:pPr>
      <w:r w:rsidRPr="00314200">
        <w:rPr>
          <w:szCs w:val="24"/>
        </w:rPr>
        <w:t>Lancashire County Council</w:t>
      </w:r>
    </w:p>
    <w:p w:rsidR="001553A9" w:rsidRPr="00314200" w:rsidRDefault="001553A9" w:rsidP="00F30BDA">
      <w:pPr>
        <w:pStyle w:val="BodyText1"/>
        <w:spacing w:before="0" w:after="0"/>
        <w:rPr>
          <w:szCs w:val="24"/>
        </w:rPr>
      </w:pPr>
      <w:r w:rsidRPr="00314200">
        <w:rPr>
          <w:szCs w:val="24"/>
        </w:rPr>
        <w:t>2nd floor Christ Church Precinct</w:t>
      </w:r>
    </w:p>
    <w:p w:rsidR="001553A9" w:rsidRPr="00314200" w:rsidRDefault="001553A9" w:rsidP="00F30BDA">
      <w:pPr>
        <w:pStyle w:val="BodyText1"/>
        <w:spacing w:before="0" w:after="0"/>
        <w:rPr>
          <w:szCs w:val="24"/>
        </w:rPr>
      </w:pPr>
      <w:r w:rsidRPr="00314200">
        <w:rPr>
          <w:szCs w:val="24"/>
        </w:rPr>
        <w:t>County Hall</w:t>
      </w:r>
    </w:p>
    <w:p w:rsidR="001553A9" w:rsidRPr="00314200" w:rsidRDefault="001553A9" w:rsidP="00F30BDA">
      <w:pPr>
        <w:pStyle w:val="BodyText1"/>
        <w:spacing w:before="0" w:after="0"/>
        <w:rPr>
          <w:szCs w:val="24"/>
        </w:rPr>
      </w:pPr>
      <w:proofErr w:type="spellStart"/>
      <w:r w:rsidRPr="00314200">
        <w:rPr>
          <w:szCs w:val="24"/>
        </w:rPr>
        <w:t>Fishergate</w:t>
      </w:r>
      <w:proofErr w:type="spellEnd"/>
      <w:r w:rsidRPr="00314200">
        <w:rPr>
          <w:szCs w:val="24"/>
        </w:rPr>
        <w:t xml:space="preserve"> Hill</w:t>
      </w:r>
    </w:p>
    <w:p w:rsidR="001553A9" w:rsidRPr="00314200" w:rsidRDefault="001553A9" w:rsidP="00F30BDA">
      <w:pPr>
        <w:pStyle w:val="BodyText1"/>
        <w:spacing w:before="0" w:after="0"/>
        <w:rPr>
          <w:szCs w:val="24"/>
        </w:rPr>
      </w:pPr>
      <w:r w:rsidRPr="00314200">
        <w:rPr>
          <w:szCs w:val="24"/>
        </w:rPr>
        <w:t>Preston</w:t>
      </w:r>
    </w:p>
    <w:p w:rsidR="001553A9" w:rsidRPr="00314200" w:rsidRDefault="001553A9" w:rsidP="00F30BDA">
      <w:pPr>
        <w:pStyle w:val="BodyText1"/>
        <w:spacing w:before="0" w:after="0"/>
        <w:rPr>
          <w:szCs w:val="24"/>
        </w:rPr>
      </w:pPr>
      <w:r w:rsidRPr="00314200">
        <w:rPr>
          <w:szCs w:val="24"/>
        </w:rPr>
        <w:t>PR1 8XJ</w:t>
      </w:r>
    </w:p>
    <w:p w:rsidR="00D20769" w:rsidRDefault="001553A9" w:rsidP="00F30BDA">
      <w:pPr>
        <w:pStyle w:val="BodyText1"/>
        <w:spacing w:before="0" w:after="0"/>
        <w:rPr>
          <w:rStyle w:val="Hyperlink"/>
          <w:szCs w:val="24"/>
        </w:rPr>
      </w:pPr>
      <w:r w:rsidRPr="00314200">
        <w:rPr>
          <w:szCs w:val="24"/>
        </w:rPr>
        <w:t xml:space="preserve">E:  </w:t>
      </w:r>
      <w:hyperlink r:id="rId11" w:history="1">
        <w:r w:rsidR="00D20769" w:rsidRPr="00295DA3">
          <w:rPr>
            <w:rStyle w:val="Hyperlink"/>
            <w:szCs w:val="24"/>
          </w:rPr>
          <w:t>BusinessIntelligence.Adults@lancashire.gov.uk</w:t>
        </w:r>
      </w:hyperlink>
    </w:p>
    <w:p w:rsidR="001553A9" w:rsidRPr="00314200" w:rsidRDefault="001553A9" w:rsidP="00F30BDA">
      <w:pPr>
        <w:pStyle w:val="BodyText1"/>
        <w:spacing w:before="0" w:after="0"/>
        <w:rPr>
          <w:rStyle w:val="Hyperlink"/>
          <w:szCs w:val="24"/>
        </w:rPr>
      </w:pPr>
      <w:r w:rsidRPr="00314200">
        <w:rPr>
          <w:szCs w:val="24"/>
        </w:rPr>
        <w:t xml:space="preserve">W: </w:t>
      </w:r>
      <w:hyperlink r:id="rId12" w:history="1">
        <w:r w:rsidRPr="00314200">
          <w:rPr>
            <w:rStyle w:val="Hyperlink"/>
            <w:szCs w:val="24"/>
          </w:rPr>
          <w:t>www.lancashire.gov.uk/lancashire-insight</w:t>
        </w:r>
      </w:hyperlink>
    </w:p>
    <w:p w:rsidR="001553A9" w:rsidRDefault="001553A9">
      <w:pPr>
        <w:autoSpaceDE/>
        <w:autoSpaceDN/>
        <w:adjustRightInd/>
        <w:spacing w:after="0"/>
        <w:jc w:val="left"/>
        <w:rPr>
          <w:b/>
          <w:sz w:val="40"/>
          <w:szCs w:val="40"/>
        </w:rPr>
      </w:pPr>
    </w:p>
    <w:p w:rsidR="006D7BB1" w:rsidRDefault="00BD6097" w:rsidP="00BD6097">
      <w:pPr>
        <w:pStyle w:val="TOCHeader"/>
        <w:rPr>
          <w:sz w:val="40"/>
          <w:szCs w:val="40"/>
        </w:rPr>
      </w:pPr>
      <w:r w:rsidRPr="00BD6097">
        <w:rPr>
          <w:sz w:val="40"/>
          <w:szCs w:val="40"/>
        </w:rPr>
        <w:t>Contents</w:t>
      </w:r>
    </w:p>
    <w:p w:rsidR="00314200" w:rsidRDefault="00314200" w:rsidP="00BD6097">
      <w:pPr>
        <w:pStyle w:val="TOCHeader"/>
        <w:rPr>
          <w:sz w:val="40"/>
          <w:szCs w:val="40"/>
        </w:rPr>
      </w:pPr>
    </w:p>
    <w:p w:rsidR="004E37D2" w:rsidRDefault="00D97765">
      <w:pPr>
        <w:pStyle w:val="TOC1"/>
        <w:tabs>
          <w:tab w:val="left" w:pos="720"/>
        </w:tabs>
        <w:rPr>
          <w:rFonts w:asciiTheme="minorHAnsi" w:eastAsiaTheme="minorEastAsia" w:hAnsiTheme="minorHAnsi" w:cstheme="minorBidi"/>
          <w:b w:val="0"/>
          <w:bCs w:val="0"/>
          <w:color w:val="auto"/>
          <w:sz w:val="22"/>
          <w:szCs w:val="22"/>
          <w:lang w:eastAsia="en-GB"/>
        </w:rPr>
      </w:pPr>
      <w:r>
        <w:rPr>
          <w:rFonts w:cs="Arial"/>
          <w:caps/>
        </w:rPr>
        <w:fldChar w:fldCharType="begin"/>
      </w:r>
      <w:r>
        <w:instrText xml:space="preserve"> TOC \o "1-3" \h \z \u </w:instrText>
      </w:r>
      <w:r>
        <w:rPr>
          <w:rFonts w:cs="Arial"/>
          <w:caps/>
        </w:rPr>
        <w:fldChar w:fldCharType="separate"/>
      </w:r>
      <w:hyperlink w:anchor="_Toc503454129" w:history="1">
        <w:r w:rsidR="004E37D2" w:rsidRPr="00DD3D7D">
          <w:rPr>
            <w:rStyle w:val="Hyperlink"/>
          </w:rPr>
          <w:t>1</w:t>
        </w:r>
        <w:r w:rsidR="004E37D2">
          <w:rPr>
            <w:rFonts w:asciiTheme="minorHAnsi" w:eastAsiaTheme="minorEastAsia" w:hAnsiTheme="minorHAnsi" w:cstheme="minorBidi"/>
            <w:b w:val="0"/>
            <w:bCs w:val="0"/>
            <w:color w:val="auto"/>
            <w:sz w:val="22"/>
            <w:szCs w:val="22"/>
            <w:lang w:eastAsia="en-GB"/>
          </w:rPr>
          <w:tab/>
        </w:r>
        <w:r w:rsidR="004E37D2" w:rsidRPr="00DD3D7D">
          <w:rPr>
            <w:rStyle w:val="Hyperlink"/>
          </w:rPr>
          <w:t>Lancashire Overview</w:t>
        </w:r>
        <w:r w:rsidR="004E37D2">
          <w:rPr>
            <w:webHidden/>
          </w:rPr>
          <w:tab/>
        </w:r>
        <w:r w:rsidR="004E37D2">
          <w:rPr>
            <w:webHidden/>
          </w:rPr>
          <w:fldChar w:fldCharType="begin"/>
        </w:r>
        <w:r w:rsidR="004E37D2">
          <w:rPr>
            <w:webHidden/>
          </w:rPr>
          <w:instrText xml:space="preserve"> PAGEREF _Toc503454129 \h </w:instrText>
        </w:r>
        <w:r w:rsidR="004E37D2">
          <w:rPr>
            <w:webHidden/>
          </w:rPr>
        </w:r>
        <w:r w:rsidR="004E37D2">
          <w:rPr>
            <w:webHidden/>
          </w:rPr>
          <w:fldChar w:fldCharType="separate"/>
        </w:r>
        <w:r w:rsidR="004E37D2">
          <w:rPr>
            <w:webHidden/>
          </w:rPr>
          <w:t>3</w:t>
        </w:r>
        <w:r w:rsidR="004E37D2">
          <w:rPr>
            <w:webHidden/>
          </w:rPr>
          <w:fldChar w:fldCharType="end"/>
        </w:r>
      </w:hyperlink>
    </w:p>
    <w:p w:rsidR="004E37D2" w:rsidRDefault="007F195D">
      <w:pPr>
        <w:pStyle w:val="TOC2"/>
        <w:tabs>
          <w:tab w:val="left" w:pos="1440"/>
        </w:tabs>
        <w:rPr>
          <w:rFonts w:asciiTheme="minorHAnsi" w:eastAsiaTheme="minorEastAsia" w:hAnsiTheme="minorHAnsi" w:cstheme="minorBidi"/>
          <w:color w:val="auto"/>
          <w:sz w:val="22"/>
          <w:szCs w:val="22"/>
          <w:lang w:eastAsia="en-GB"/>
        </w:rPr>
      </w:pPr>
      <w:hyperlink w:anchor="_Toc503454130" w:history="1">
        <w:r w:rsidR="004E37D2" w:rsidRPr="00DD3D7D">
          <w:rPr>
            <w:rStyle w:val="Hyperlink"/>
          </w:rPr>
          <w:t>1.1</w:t>
        </w:r>
        <w:r w:rsidR="004E37D2">
          <w:rPr>
            <w:rFonts w:asciiTheme="minorHAnsi" w:eastAsiaTheme="minorEastAsia" w:hAnsiTheme="minorHAnsi" w:cstheme="minorBidi"/>
            <w:color w:val="auto"/>
            <w:sz w:val="22"/>
            <w:szCs w:val="22"/>
            <w:lang w:eastAsia="en-GB"/>
          </w:rPr>
          <w:tab/>
        </w:r>
        <w:r w:rsidR="004E37D2" w:rsidRPr="00DD3D7D">
          <w:rPr>
            <w:rStyle w:val="Hyperlink"/>
          </w:rPr>
          <w:t>Lancashire Detail Nov-17</w:t>
        </w:r>
        <w:r w:rsidR="004E37D2">
          <w:rPr>
            <w:webHidden/>
          </w:rPr>
          <w:tab/>
        </w:r>
        <w:r w:rsidR="004E37D2">
          <w:rPr>
            <w:webHidden/>
          </w:rPr>
          <w:fldChar w:fldCharType="begin"/>
        </w:r>
        <w:r w:rsidR="004E37D2">
          <w:rPr>
            <w:webHidden/>
          </w:rPr>
          <w:instrText xml:space="preserve"> PAGEREF _Toc503454130 \h </w:instrText>
        </w:r>
        <w:r w:rsidR="004E37D2">
          <w:rPr>
            <w:webHidden/>
          </w:rPr>
        </w:r>
        <w:r w:rsidR="004E37D2">
          <w:rPr>
            <w:webHidden/>
          </w:rPr>
          <w:fldChar w:fldCharType="separate"/>
        </w:r>
        <w:r w:rsidR="004E37D2">
          <w:rPr>
            <w:webHidden/>
          </w:rPr>
          <w:t>3</w:t>
        </w:r>
        <w:r w:rsidR="004E37D2">
          <w:rPr>
            <w:webHidden/>
          </w:rPr>
          <w:fldChar w:fldCharType="end"/>
        </w:r>
      </w:hyperlink>
    </w:p>
    <w:p w:rsidR="004E37D2" w:rsidRDefault="007F195D">
      <w:pPr>
        <w:pStyle w:val="TOC2"/>
        <w:tabs>
          <w:tab w:val="left" w:pos="1440"/>
        </w:tabs>
        <w:rPr>
          <w:rFonts w:asciiTheme="minorHAnsi" w:eastAsiaTheme="minorEastAsia" w:hAnsiTheme="minorHAnsi" w:cstheme="minorBidi"/>
          <w:color w:val="auto"/>
          <w:sz w:val="22"/>
          <w:szCs w:val="22"/>
          <w:lang w:eastAsia="en-GB"/>
        </w:rPr>
      </w:pPr>
      <w:hyperlink w:anchor="_Toc503454131" w:history="1">
        <w:r w:rsidR="004E37D2" w:rsidRPr="00DD3D7D">
          <w:rPr>
            <w:rStyle w:val="Hyperlink"/>
          </w:rPr>
          <w:t>1.2</w:t>
        </w:r>
        <w:r w:rsidR="004E37D2">
          <w:rPr>
            <w:rFonts w:asciiTheme="minorHAnsi" w:eastAsiaTheme="minorEastAsia" w:hAnsiTheme="minorHAnsi" w:cstheme="minorBidi"/>
            <w:color w:val="auto"/>
            <w:sz w:val="22"/>
            <w:szCs w:val="22"/>
            <w:lang w:eastAsia="en-GB"/>
          </w:rPr>
          <w:tab/>
        </w:r>
        <w:r w:rsidR="004E37D2" w:rsidRPr="00DD3D7D">
          <w:rPr>
            <w:rStyle w:val="Hyperlink"/>
          </w:rPr>
          <w:t>Proportions attributable to NHS and social care</w:t>
        </w:r>
        <w:r w:rsidR="004E37D2">
          <w:rPr>
            <w:webHidden/>
          </w:rPr>
          <w:tab/>
        </w:r>
        <w:r w:rsidR="004E37D2">
          <w:rPr>
            <w:webHidden/>
          </w:rPr>
          <w:fldChar w:fldCharType="begin"/>
        </w:r>
        <w:r w:rsidR="004E37D2">
          <w:rPr>
            <w:webHidden/>
          </w:rPr>
          <w:instrText xml:space="preserve"> PAGEREF _Toc503454131 \h </w:instrText>
        </w:r>
        <w:r w:rsidR="004E37D2">
          <w:rPr>
            <w:webHidden/>
          </w:rPr>
        </w:r>
        <w:r w:rsidR="004E37D2">
          <w:rPr>
            <w:webHidden/>
          </w:rPr>
          <w:fldChar w:fldCharType="separate"/>
        </w:r>
        <w:r w:rsidR="004E37D2">
          <w:rPr>
            <w:webHidden/>
          </w:rPr>
          <w:t>4</w:t>
        </w:r>
        <w:r w:rsidR="004E37D2">
          <w:rPr>
            <w:webHidden/>
          </w:rPr>
          <w:fldChar w:fldCharType="end"/>
        </w:r>
      </w:hyperlink>
    </w:p>
    <w:p w:rsidR="004E37D2" w:rsidRDefault="007F195D">
      <w:pPr>
        <w:pStyle w:val="TOC1"/>
        <w:tabs>
          <w:tab w:val="left" w:pos="720"/>
        </w:tabs>
        <w:rPr>
          <w:rFonts w:asciiTheme="minorHAnsi" w:eastAsiaTheme="minorEastAsia" w:hAnsiTheme="minorHAnsi" w:cstheme="minorBidi"/>
          <w:b w:val="0"/>
          <w:bCs w:val="0"/>
          <w:color w:val="auto"/>
          <w:sz w:val="22"/>
          <w:szCs w:val="22"/>
          <w:lang w:eastAsia="en-GB"/>
        </w:rPr>
      </w:pPr>
      <w:hyperlink w:anchor="_Toc503454132" w:history="1">
        <w:r w:rsidR="004E37D2" w:rsidRPr="00DD3D7D">
          <w:rPr>
            <w:rStyle w:val="Hyperlink"/>
          </w:rPr>
          <w:t>2</w:t>
        </w:r>
        <w:r w:rsidR="004E37D2">
          <w:rPr>
            <w:rFonts w:asciiTheme="minorHAnsi" w:eastAsiaTheme="minorEastAsia" w:hAnsiTheme="minorHAnsi" w:cstheme="minorBidi"/>
            <w:b w:val="0"/>
            <w:bCs w:val="0"/>
            <w:color w:val="auto"/>
            <w:sz w:val="22"/>
            <w:szCs w:val="22"/>
            <w:lang w:eastAsia="en-GB"/>
          </w:rPr>
          <w:tab/>
        </w:r>
        <w:r w:rsidR="004E37D2" w:rsidRPr="00DD3D7D">
          <w:rPr>
            <w:rStyle w:val="Hyperlink"/>
          </w:rPr>
          <w:t>DToC Targets</w:t>
        </w:r>
        <w:r w:rsidR="004E37D2">
          <w:rPr>
            <w:webHidden/>
          </w:rPr>
          <w:tab/>
        </w:r>
        <w:r w:rsidR="004E37D2">
          <w:rPr>
            <w:webHidden/>
          </w:rPr>
          <w:fldChar w:fldCharType="begin"/>
        </w:r>
        <w:r w:rsidR="004E37D2">
          <w:rPr>
            <w:webHidden/>
          </w:rPr>
          <w:instrText xml:space="preserve"> PAGEREF _Toc503454132 \h </w:instrText>
        </w:r>
        <w:r w:rsidR="004E37D2">
          <w:rPr>
            <w:webHidden/>
          </w:rPr>
        </w:r>
        <w:r w:rsidR="004E37D2">
          <w:rPr>
            <w:webHidden/>
          </w:rPr>
          <w:fldChar w:fldCharType="separate"/>
        </w:r>
        <w:r w:rsidR="004E37D2">
          <w:rPr>
            <w:webHidden/>
          </w:rPr>
          <w:t>5</w:t>
        </w:r>
        <w:r w:rsidR="004E37D2">
          <w:rPr>
            <w:webHidden/>
          </w:rPr>
          <w:fldChar w:fldCharType="end"/>
        </w:r>
      </w:hyperlink>
    </w:p>
    <w:p w:rsidR="004E37D2" w:rsidRDefault="007F195D">
      <w:pPr>
        <w:pStyle w:val="TOC2"/>
        <w:tabs>
          <w:tab w:val="left" w:pos="1440"/>
        </w:tabs>
        <w:rPr>
          <w:rFonts w:asciiTheme="minorHAnsi" w:eastAsiaTheme="minorEastAsia" w:hAnsiTheme="minorHAnsi" w:cstheme="minorBidi"/>
          <w:color w:val="auto"/>
          <w:sz w:val="22"/>
          <w:szCs w:val="22"/>
          <w:lang w:eastAsia="en-GB"/>
        </w:rPr>
      </w:pPr>
      <w:hyperlink w:anchor="_Toc503454133" w:history="1">
        <w:r w:rsidR="004E37D2" w:rsidRPr="00DD3D7D">
          <w:rPr>
            <w:rStyle w:val="Hyperlink"/>
          </w:rPr>
          <w:t>2.1</w:t>
        </w:r>
        <w:r w:rsidR="004E37D2">
          <w:rPr>
            <w:rFonts w:asciiTheme="minorHAnsi" w:eastAsiaTheme="minorEastAsia" w:hAnsiTheme="minorHAnsi" w:cstheme="minorBidi"/>
            <w:color w:val="auto"/>
            <w:sz w:val="22"/>
            <w:szCs w:val="22"/>
            <w:lang w:eastAsia="en-GB"/>
          </w:rPr>
          <w:tab/>
        </w:r>
        <w:r w:rsidR="004E37D2" w:rsidRPr="00DD3D7D">
          <w:rPr>
            <w:rStyle w:val="Hyperlink"/>
          </w:rPr>
          <w:t>Better Care Fund</w:t>
        </w:r>
        <w:r w:rsidR="004E37D2">
          <w:rPr>
            <w:webHidden/>
          </w:rPr>
          <w:tab/>
        </w:r>
        <w:r w:rsidR="004E37D2">
          <w:rPr>
            <w:webHidden/>
          </w:rPr>
          <w:fldChar w:fldCharType="begin"/>
        </w:r>
        <w:r w:rsidR="004E37D2">
          <w:rPr>
            <w:webHidden/>
          </w:rPr>
          <w:instrText xml:space="preserve"> PAGEREF _Toc503454133 \h </w:instrText>
        </w:r>
        <w:r w:rsidR="004E37D2">
          <w:rPr>
            <w:webHidden/>
          </w:rPr>
        </w:r>
        <w:r w:rsidR="004E37D2">
          <w:rPr>
            <w:webHidden/>
          </w:rPr>
          <w:fldChar w:fldCharType="separate"/>
        </w:r>
        <w:r w:rsidR="004E37D2">
          <w:rPr>
            <w:webHidden/>
          </w:rPr>
          <w:t>5</w:t>
        </w:r>
        <w:r w:rsidR="004E37D2">
          <w:rPr>
            <w:webHidden/>
          </w:rPr>
          <w:fldChar w:fldCharType="end"/>
        </w:r>
      </w:hyperlink>
    </w:p>
    <w:p w:rsidR="004E37D2" w:rsidRDefault="007F195D">
      <w:pPr>
        <w:pStyle w:val="TOC2"/>
        <w:tabs>
          <w:tab w:val="left" w:pos="1440"/>
        </w:tabs>
        <w:rPr>
          <w:rFonts w:asciiTheme="minorHAnsi" w:eastAsiaTheme="minorEastAsia" w:hAnsiTheme="minorHAnsi" w:cstheme="minorBidi"/>
          <w:color w:val="auto"/>
          <w:sz w:val="22"/>
          <w:szCs w:val="22"/>
          <w:lang w:eastAsia="en-GB"/>
        </w:rPr>
      </w:pPr>
      <w:hyperlink w:anchor="_Toc503454134" w:history="1">
        <w:r w:rsidR="004E37D2" w:rsidRPr="00DD3D7D">
          <w:rPr>
            <w:rStyle w:val="Hyperlink"/>
          </w:rPr>
          <w:t>2.2</w:t>
        </w:r>
        <w:r w:rsidR="004E37D2">
          <w:rPr>
            <w:rFonts w:asciiTheme="minorHAnsi" w:eastAsiaTheme="minorEastAsia" w:hAnsiTheme="minorHAnsi" w:cstheme="minorBidi"/>
            <w:color w:val="auto"/>
            <w:sz w:val="22"/>
            <w:szCs w:val="22"/>
            <w:lang w:eastAsia="en-GB"/>
          </w:rPr>
          <w:tab/>
        </w:r>
        <w:r w:rsidR="004E37D2" w:rsidRPr="00DD3D7D">
          <w:rPr>
            <w:rStyle w:val="Hyperlink"/>
          </w:rPr>
          <w:t>DToC Bed Days per 100,000 population aged 18+</w:t>
        </w:r>
        <w:r w:rsidR="004E37D2">
          <w:rPr>
            <w:webHidden/>
          </w:rPr>
          <w:tab/>
        </w:r>
        <w:r w:rsidR="004E37D2">
          <w:rPr>
            <w:webHidden/>
          </w:rPr>
          <w:fldChar w:fldCharType="begin"/>
        </w:r>
        <w:r w:rsidR="004E37D2">
          <w:rPr>
            <w:webHidden/>
          </w:rPr>
          <w:instrText xml:space="preserve"> PAGEREF _Toc503454134 \h </w:instrText>
        </w:r>
        <w:r w:rsidR="004E37D2">
          <w:rPr>
            <w:webHidden/>
          </w:rPr>
        </w:r>
        <w:r w:rsidR="004E37D2">
          <w:rPr>
            <w:webHidden/>
          </w:rPr>
          <w:fldChar w:fldCharType="separate"/>
        </w:r>
        <w:r w:rsidR="004E37D2">
          <w:rPr>
            <w:webHidden/>
          </w:rPr>
          <w:t>5</w:t>
        </w:r>
        <w:r w:rsidR="004E37D2">
          <w:rPr>
            <w:webHidden/>
          </w:rPr>
          <w:fldChar w:fldCharType="end"/>
        </w:r>
      </w:hyperlink>
    </w:p>
    <w:p w:rsidR="004E37D2" w:rsidRDefault="007F195D">
      <w:pPr>
        <w:pStyle w:val="TOC2"/>
        <w:tabs>
          <w:tab w:val="left" w:pos="1440"/>
        </w:tabs>
        <w:rPr>
          <w:rFonts w:asciiTheme="minorHAnsi" w:eastAsiaTheme="minorEastAsia" w:hAnsiTheme="minorHAnsi" w:cstheme="minorBidi"/>
          <w:color w:val="auto"/>
          <w:sz w:val="22"/>
          <w:szCs w:val="22"/>
          <w:lang w:eastAsia="en-GB"/>
        </w:rPr>
      </w:pPr>
      <w:hyperlink w:anchor="_Toc503454135" w:history="1">
        <w:r w:rsidR="004E37D2" w:rsidRPr="00DD3D7D">
          <w:rPr>
            <w:rStyle w:val="Hyperlink"/>
          </w:rPr>
          <w:t>2.3</w:t>
        </w:r>
        <w:r w:rsidR="004E37D2">
          <w:rPr>
            <w:rFonts w:asciiTheme="minorHAnsi" w:eastAsiaTheme="minorEastAsia" w:hAnsiTheme="minorHAnsi" w:cstheme="minorBidi"/>
            <w:color w:val="auto"/>
            <w:sz w:val="22"/>
            <w:szCs w:val="22"/>
            <w:lang w:eastAsia="en-GB"/>
          </w:rPr>
          <w:tab/>
        </w:r>
        <w:r w:rsidR="004E37D2" w:rsidRPr="00DD3D7D">
          <w:rPr>
            <w:rStyle w:val="Hyperlink"/>
          </w:rPr>
          <w:t>ASCOF 2C indicators</w:t>
        </w:r>
        <w:r w:rsidR="004E37D2">
          <w:rPr>
            <w:webHidden/>
          </w:rPr>
          <w:tab/>
        </w:r>
        <w:r w:rsidR="004E37D2">
          <w:rPr>
            <w:webHidden/>
          </w:rPr>
          <w:fldChar w:fldCharType="begin"/>
        </w:r>
        <w:r w:rsidR="004E37D2">
          <w:rPr>
            <w:webHidden/>
          </w:rPr>
          <w:instrText xml:space="preserve"> PAGEREF _Toc503454135 \h </w:instrText>
        </w:r>
        <w:r w:rsidR="004E37D2">
          <w:rPr>
            <w:webHidden/>
          </w:rPr>
        </w:r>
        <w:r w:rsidR="004E37D2">
          <w:rPr>
            <w:webHidden/>
          </w:rPr>
          <w:fldChar w:fldCharType="separate"/>
        </w:r>
        <w:r w:rsidR="004E37D2">
          <w:rPr>
            <w:webHidden/>
          </w:rPr>
          <w:t>9</w:t>
        </w:r>
        <w:r w:rsidR="004E37D2">
          <w:rPr>
            <w:webHidden/>
          </w:rPr>
          <w:fldChar w:fldCharType="end"/>
        </w:r>
      </w:hyperlink>
    </w:p>
    <w:p w:rsidR="004E37D2" w:rsidRDefault="007F195D">
      <w:pPr>
        <w:pStyle w:val="TOC1"/>
        <w:tabs>
          <w:tab w:val="left" w:pos="720"/>
        </w:tabs>
        <w:rPr>
          <w:rFonts w:asciiTheme="minorHAnsi" w:eastAsiaTheme="minorEastAsia" w:hAnsiTheme="minorHAnsi" w:cstheme="minorBidi"/>
          <w:b w:val="0"/>
          <w:bCs w:val="0"/>
          <w:color w:val="auto"/>
          <w:sz w:val="22"/>
          <w:szCs w:val="22"/>
          <w:lang w:eastAsia="en-GB"/>
        </w:rPr>
      </w:pPr>
      <w:hyperlink w:anchor="_Toc503454136" w:history="1">
        <w:r w:rsidR="004E37D2" w:rsidRPr="00DD3D7D">
          <w:rPr>
            <w:rStyle w:val="Hyperlink"/>
          </w:rPr>
          <w:t>3</w:t>
        </w:r>
        <w:r w:rsidR="004E37D2">
          <w:rPr>
            <w:rFonts w:asciiTheme="minorHAnsi" w:eastAsiaTheme="minorEastAsia" w:hAnsiTheme="minorHAnsi" w:cstheme="minorBidi"/>
            <w:b w:val="0"/>
            <w:bCs w:val="0"/>
            <w:color w:val="auto"/>
            <w:sz w:val="22"/>
            <w:szCs w:val="22"/>
            <w:lang w:eastAsia="en-GB"/>
          </w:rPr>
          <w:tab/>
        </w:r>
        <w:r w:rsidR="004E37D2" w:rsidRPr="00DD3D7D">
          <w:rPr>
            <w:rStyle w:val="Hyperlink"/>
          </w:rPr>
          <w:t>Provider Analysis</w:t>
        </w:r>
        <w:r w:rsidR="004E37D2">
          <w:rPr>
            <w:webHidden/>
          </w:rPr>
          <w:tab/>
        </w:r>
        <w:r w:rsidR="004E37D2">
          <w:rPr>
            <w:webHidden/>
          </w:rPr>
          <w:fldChar w:fldCharType="begin"/>
        </w:r>
        <w:r w:rsidR="004E37D2">
          <w:rPr>
            <w:webHidden/>
          </w:rPr>
          <w:instrText xml:space="preserve"> PAGEREF _Toc503454136 \h </w:instrText>
        </w:r>
        <w:r w:rsidR="004E37D2">
          <w:rPr>
            <w:webHidden/>
          </w:rPr>
        </w:r>
        <w:r w:rsidR="004E37D2">
          <w:rPr>
            <w:webHidden/>
          </w:rPr>
          <w:fldChar w:fldCharType="separate"/>
        </w:r>
        <w:r w:rsidR="004E37D2">
          <w:rPr>
            <w:webHidden/>
          </w:rPr>
          <w:t>10</w:t>
        </w:r>
        <w:r w:rsidR="004E37D2">
          <w:rPr>
            <w:webHidden/>
          </w:rPr>
          <w:fldChar w:fldCharType="end"/>
        </w:r>
      </w:hyperlink>
    </w:p>
    <w:p w:rsidR="004E37D2" w:rsidRDefault="007F195D">
      <w:pPr>
        <w:pStyle w:val="TOC2"/>
        <w:tabs>
          <w:tab w:val="left" w:pos="1440"/>
        </w:tabs>
        <w:rPr>
          <w:rFonts w:asciiTheme="minorHAnsi" w:eastAsiaTheme="minorEastAsia" w:hAnsiTheme="minorHAnsi" w:cstheme="minorBidi"/>
          <w:color w:val="auto"/>
          <w:sz w:val="22"/>
          <w:szCs w:val="22"/>
          <w:lang w:eastAsia="en-GB"/>
        </w:rPr>
      </w:pPr>
      <w:hyperlink w:anchor="_Toc503454137" w:history="1">
        <w:r w:rsidR="004E37D2" w:rsidRPr="00DD3D7D">
          <w:rPr>
            <w:rStyle w:val="Hyperlink"/>
          </w:rPr>
          <w:t>3.1</w:t>
        </w:r>
        <w:r w:rsidR="004E37D2">
          <w:rPr>
            <w:rFonts w:asciiTheme="minorHAnsi" w:eastAsiaTheme="minorEastAsia" w:hAnsiTheme="minorHAnsi" w:cstheme="minorBidi"/>
            <w:color w:val="auto"/>
            <w:sz w:val="22"/>
            <w:szCs w:val="22"/>
            <w:lang w:eastAsia="en-GB"/>
          </w:rPr>
          <w:tab/>
        </w:r>
        <w:r w:rsidR="004E37D2" w:rsidRPr="00DD3D7D">
          <w:rPr>
            <w:rStyle w:val="Hyperlink"/>
          </w:rPr>
          <w:t>Trend Analysis for Lancashire Main Providers</w:t>
        </w:r>
        <w:r w:rsidR="004E37D2">
          <w:rPr>
            <w:webHidden/>
          </w:rPr>
          <w:tab/>
        </w:r>
        <w:r w:rsidR="004E37D2">
          <w:rPr>
            <w:webHidden/>
          </w:rPr>
          <w:fldChar w:fldCharType="begin"/>
        </w:r>
        <w:r w:rsidR="004E37D2">
          <w:rPr>
            <w:webHidden/>
          </w:rPr>
          <w:instrText xml:space="preserve"> PAGEREF _Toc503454137 \h </w:instrText>
        </w:r>
        <w:r w:rsidR="004E37D2">
          <w:rPr>
            <w:webHidden/>
          </w:rPr>
        </w:r>
        <w:r w:rsidR="004E37D2">
          <w:rPr>
            <w:webHidden/>
          </w:rPr>
          <w:fldChar w:fldCharType="separate"/>
        </w:r>
        <w:r w:rsidR="004E37D2">
          <w:rPr>
            <w:webHidden/>
          </w:rPr>
          <w:t>10</w:t>
        </w:r>
        <w:r w:rsidR="004E37D2">
          <w:rPr>
            <w:webHidden/>
          </w:rPr>
          <w:fldChar w:fldCharType="end"/>
        </w:r>
      </w:hyperlink>
    </w:p>
    <w:p w:rsidR="004E37D2" w:rsidRDefault="007F195D">
      <w:pPr>
        <w:pStyle w:val="TOC2"/>
        <w:tabs>
          <w:tab w:val="left" w:pos="1440"/>
        </w:tabs>
        <w:rPr>
          <w:rFonts w:asciiTheme="minorHAnsi" w:eastAsiaTheme="minorEastAsia" w:hAnsiTheme="minorHAnsi" w:cstheme="minorBidi"/>
          <w:color w:val="auto"/>
          <w:sz w:val="22"/>
          <w:szCs w:val="22"/>
          <w:lang w:eastAsia="en-GB"/>
        </w:rPr>
      </w:pPr>
      <w:hyperlink w:anchor="_Toc503454138" w:history="1">
        <w:r w:rsidR="004E37D2" w:rsidRPr="00DD3D7D">
          <w:rPr>
            <w:rStyle w:val="Hyperlink"/>
          </w:rPr>
          <w:t>3.2</w:t>
        </w:r>
        <w:r w:rsidR="004E37D2">
          <w:rPr>
            <w:rFonts w:asciiTheme="minorHAnsi" w:eastAsiaTheme="minorEastAsia" w:hAnsiTheme="minorHAnsi" w:cstheme="minorBidi"/>
            <w:color w:val="auto"/>
            <w:sz w:val="22"/>
            <w:szCs w:val="22"/>
            <w:lang w:eastAsia="en-GB"/>
          </w:rPr>
          <w:tab/>
        </w:r>
        <w:r w:rsidR="004E37D2" w:rsidRPr="00DD3D7D">
          <w:rPr>
            <w:rStyle w:val="Hyperlink"/>
          </w:rPr>
          <w:t>Provider Detail – Lancashire Residents</w:t>
        </w:r>
        <w:r w:rsidR="004E37D2">
          <w:rPr>
            <w:webHidden/>
          </w:rPr>
          <w:tab/>
        </w:r>
        <w:r w:rsidR="004E37D2">
          <w:rPr>
            <w:webHidden/>
          </w:rPr>
          <w:fldChar w:fldCharType="begin"/>
        </w:r>
        <w:r w:rsidR="004E37D2">
          <w:rPr>
            <w:webHidden/>
          </w:rPr>
          <w:instrText xml:space="preserve"> PAGEREF _Toc503454138 \h </w:instrText>
        </w:r>
        <w:r w:rsidR="004E37D2">
          <w:rPr>
            <w:webHidden/>
          </w:rPr>
        </w:r>
        <w:r w:rsidR="004E37D2">
          <w:rPr>
            <w:webHidden/>
          </w:rPr>
          <w:fldChar w:fldCharType="separate"/>
        </w:r>
        <w:r w:rsidR="004E37D2">
          <w:rPr>
            <w:webHidden/>
          </w:rPr>
          <w:t>11</w:t>
        </w:r>
        <w:r w:rsidR="004E37D2">
          <w:rPr>
            <w:webHidden/>
          </w:rPr>
          <w:fldChar w:fldCharType="end"/>
        </w:r>
      </w:hyperlink>
    </w:p>
    <w:p w:rsidR="004E37D2" w:rsidRDefault="007F195D">
      <w:pPr>
        <w:pStyle w:val="TOC2"/>
        <w:tabs>
          <w:tab w:val="left" w:pos="1440"/>
        </w:tabs>
        <w:rPr>
          <w:rFonts w:asciiTheme="minorHAnsi" w:eastAsiaTheme="minorEastAsia" w:hAnsiTheme="minorHAnsi" w:cstheme="minorBidi"/>
          <w:color w:val="auto"/>
          <w:sz w:val="22"/>
          <w:szCs w:val="22"/>
          <w:lang w:eastAsia="en-GB"/>
        </w:rPr>
      </w:pPr>
      <w:hyperlink w:anchor="_Toc503454139" w:history="1">
        <w:r w:rsidR="004E37D2" w:rsidRPr="00DD3D7D">
          <w:rPr>
            <w:rStyle w:val="Hyperlink"/>
          </w:rPr>
          <w:t>3.3</w:t>
        </w:r>
        <w:r w:rsidR="004E37D2">
          <w:rPr>
            <w:rFonts w:asciiTheme="minorHAnsi" w:eastAsiaTheme="minorEastAsia" w:hAnsiTheme="minorHAnsi" w:cstheme="minorBidi"/>
            <w:color w:val="auto"/>
            <w:sz w:val="22"/>
            <w:szCs w:val="22"/>
            <w:lang w:eastAsia="en-GB"/>
          </w:rPr>
          <w:tab/>
        </w:r>
        <w:r w:rsidR="004E37D2" w:rsidRPr="00DD3D7D">
          <w:rPr>
            <w:rStyle w:val="Hyperlink"/>
          </w:rPr>
          <w:t>Provider Detail – All Residents</w:t>
        </w:r>
        <w:r w:rsidR="004E37D2">
          <w:rPr>
            <w:webHidden/>
          </w:rPr>
          <w:tab/>
        </w:r>
        <w:r w:rsidR="004E37D2">
          <w:rPr>
            <w:webHidden/>
          </w:rPr>
          <w:fldChar w:fldCharType="begin"/>
        </w:r>
        <w:r w:rsidR="004E37D2">
          <w:rPr>
            <w:webHidden/>
          </w:rPr>
          <w:instrText xml:space="preserve"> PAGEREF _Toc503454139 \h </w:instrText>
        </w:r>
        <w:r w:rsidR="004E37D2">
          <w:rPr>
            <w:webHidden/>
          </w:rPr>
        </w:r>
        <w:r w:rsidR="004E37D2">
          <w:rPr>
            <w:webHidden/>
          </w:rPr>
          <w:fldChar w:fldCharType="separate"/>
        </w:r>
        <w:r w:rsidR="004E37D2">
          <w:rPr>
            <w:webHidden/>
          </w:rPr>
          <w:t>12</w:t>
        </w:r>
        <w:r w:rsidR="004E37D2">
          <w:rPr>
            <w:webHidden/>
          </w:rPr>
          <w:fldChar w:fldCharType="end"/>
        </w:r>
      </w:hyperlink>
    </w:p>
    <w:p w:rsidR="004E37D2" w:rsidRDefault="007F195D">
      <w:pPr>
        <w:pStyle w:val="TOC2"/>
        <w:tabs>
          <w:tab w:val="left" w:pos="1440"/>
        </w:tabs>
        <w:rPr>
          <w:rFonts w:asciiTheme="minorHAnsi" w:eastAsiaTheme="minorEastAsia" w:hAnsiTheme="minorHAnsi" w:cstheme="minorBidi"/>
          <w:color w:val="auto"/>
          <w:sz w:val="22"/>
          <w:szCs w:val="22"/>
          <w:lang w:eastAsia="en-GB"/>
        </w:rPr>
      </w:pPr>
      <w:hyperlink w:anchor="_Toc503454140" w:history="1">
        <w:r w:rsidR="004E37D2" w:rsidRPr="00DD3D7D">
          <w:rPr>
            <w:rStyle w:val="Hyperlink"/>
          </w:rPr>
          <w:t>3.4</w:t>
        </w:r>
        <w:r w:rsidR="004E37D2">
          <w:rPr>
            <w:rFonts w:asciiTheme="minorHAnsi" w:eastAsiaTheme="minorEastAsia" w:hAnsiTheme="minorHAnsi" w:cstheme="minorBidi"/>
            <w:color w:val="auto"/>
            <w:sz w:val="22"/>
            <w:szCs w:val="22"/>
            <w:lang w:eastAsia="en-GB"/>
          </w:rPr>
          <w:tab/>
        </w:r>
        <w:r w:rsidR="004E37D2" w:rsidRPr="00DD3D7D">
          <w:rPr>
            <w:rStyle w:val="Hyperlink"/>
          </w:rPr>
          <w:t>Provider Average</w:t>
        </w:r>
        <w:r w:rsidR="004E37D2">
          <w:rPr>
            <w:webHidden/>
          </w:rPr>
          <w:tab/>
        </w:r>
        <w:r w:rsidR="004E37D2">
          <w:rPr>
            <w:webHidden/>
          </w:rPr>
          <w:fldChar w:fldCharType="begin"/>
        </w:r>
        <w:r w:rsidR="004E37D2">
          <w:rPr>
            <w:webHidden/>
          </w:rPr>
          <w:instrText xml:space="preserve"> PAGEREF _Toc503454140 \h </w:instrText>
        </w:r>
        <w:r w:rsidR="004E37D2">
          <w:rPr>
            <w:webHidden/>
          </w:rPr>
        </w:r>
        <w:r w:rsidR="004E37D2">
          <w:rPr>
            <w:webHidden/>
          </w:rPr>
          <w:fldChar w:fldCharType="separate"/>
        </w:r>
        <w:r w:rsidR="004E37D2">
          <w:rPr>
            <w:webHidden/>
          </w:rPr>
          <w:t>15</w:t>
        </w:r>
        <w:r w:rsidR="004E37D2">
          <w:rPr>
            <w:webHidden/>
          </w:rPr>
          <w:fldChar w:fldCharType="end"/>
        </w:r>
      </w:hyperlink>
    </w:p>
    <w:p w:rsidR="004E37D2" w:rsidRDefault="007F195D">
      <w:pPr>
        <w:pStyle w:val="TOC1"/>
        <w:tabs>
          <w:tab w:val="left" w:pos="720"/>
        </w:tabs>
        <w:rPr>
          <w:rFonts w:asciiTheme="minorHAnsi" w:eastAsiaTheme="minorEastAsia" w:hAnsiTheme="minorHAnsi" w:cstheme="minorBidi"/>
          <w:b w:val="0"/>
          <w:bCs w:val="0"/>
          <w:color w:val="auto"/>
          <w:sz w:val="22"/>
          <w:szCs w:val="22"/>
          <w:lang w:eastAsia="en-GB"/>
        </w:rPr>
      </w:pPr>
      <w:hyperlink w:anchor="_Toc503454141" w:history="1">
        <w:r w:rsidR="004E37D2" w:rsidRPr="00DD3D7D">
          <w:rPr>
            <w:rStyle w:val="Hyperlink"/>
          </w:rPr>
          <w:t>4</w:t>
        </w:r>
        <w:r w:rsidR="004E37D2">
          <w:rPr>
            <w:rFonts w:asciiTheme="minorHAnsi" w:eastAsiaTheme="minorEastAsia" w:hAnsiTheme="minorHAnsi" w:cstheme="minorBidi"/>
            <w:b w:val="0"/>
            <w:bCs w:val="0"/>
            <w:color w:val="auto"/>
            <w:sz w:val="22"/>
            <w:szCs w:val="22"/>
            <w:lang w:eastAsia="en-GB"/>
          </w:rPr>
          <w:tab/>
        </w:r>
        <w:r w:rsidR="004E37D2" w:rsidRPr="00DD3D7D">
          <w:rPr>
            <w:rStyle w:val="Hyperlink"/>
          </w:rPr>
          <w:t>Reason for Delay</w:t>
        </w:r>
        <w:r w:rsidR="004E37D2">
          <w:rPr>
            <w:webHidden/>
          </w:rPr>
          <w:tab/>
        </w:r>
        <w:r w:rsidR="004E37D2">
          <w:rPr>
            <w:webHidden/>
          </w:rPr>
          <w:fldChar w:fldCharType="begin"/>
        </w:r>
        <w:r w:rsidR="004E37D2">
          <w:rPr>
            <w:webHidden/>
          </w:rPr>
          <w:instrText xml:space="preserve"> PAGEREF _Toc503454141 \h </w:instrText>
        </w:r>
        <w:r w:rsidR="004E37D2">
          <w:rPr>
            <w:webHidden/>
          </w:rPr>
        </w:r>
        <w:r w:rsidR="004E37D2">
          <w:rPr>
            <w:webHidden/>
          </w:rPr>
          <w:fldChar w:fldCharType="separate"/>
        </w:r>
        <w:r w:rsidR="004E37D2">
          <w:rPr>
            <w:webHidden/>
          </w:rPr>
          <w:t>17</w:t>
        </w:r>
        <w:r w:rsidR="004E37D2">
          <w:rPr>
            <w:webHidden/>
          </w:rPr>
          <w:fldChar w:fldCharType="end"/>
        </w:r>
      </w:hyperlink>
    </w:p>
    <w:p w:rsidR="00D97765" w:rsidRPr="006226CB" w:rsidRDefault="00D97765" w:rsidP="00D97765">
      <w:pPr>
        <w:pStyle w:val="Instructiontext"/>
        <w:jc w:val="left"/>
      </w:pPr>
      <w:r>
        <w:fldChar w:fldCharType="end"/>
      </w:r>
    </w:p>
    <w:bookmarkEnd w:id="0"/>
    <w:p w:rsidR="00F669DE" w:rsidRDefault="00F669DE">
      <w:pPr>
        <w:autoSpaceDE/>
        <w:autoSpaceDN/>
        <w:adjustRightInd/>
        <w:spacing w:after="0"/>
        <w:jc w:val="left"/>
        <w:rPr>
          <w:rFonts w:eastAsia="Times New Roman"/>
          <w:b/>
          <w:bCs/>
          <w:color w:val="auto"/>
          <w:sz w:val="40"/>
          <w:szCs w:val="28"/>
          <w:lang w:eastAsia="en-GB"/>
        </w:rPr>
      </w:pPr>
      <w:r>
        <w:br w:type="page"/>
      </w:r>
    </w:p>
    <w:p w:rsidR="000A1E1B" w:rsidRDefault="00DE5245" w:rsidP="00281495">
      <w:pPr>
        <w:pStyle w:val="Heading1"/>
        <w:spacing w:before="0" w:after="0"/>
        <w:ind w:left="431" w:hanging="431"/>
        <w:jc w:val="left"/>
      </w:pPr>
      <w:bookmarkStart w:id="1" w:name="_Toc503454129"/>
      <w:r>
        <w:t xml:space="preserve">Lancashire </w:t>
      </w:r>
      <w:r w:rsidR="0079281C">
        <w:t>Overview</w:t>
      </w:r>
      <w:bookmarkEnd w:id="1"/>
    </w:p>
    <w:p w:rsidR="0079281C" w:rsidRDefault="0079281C" w:rsidP="00281495">
      <w:pPr>
        <w:pStyle w:val="BodyText"/>
        <w:spacing w:before="0" w:after="0"/>
        <w:jc w:val="left"/>
      </w:pPr>
    </w:p>
    <w:p w:rsidR="00D17A5F" w:rsidRDefault="00D17A5F" w:rsidP="00D17A5F">
      <w:pPr>
        <w:rPr>
          <w:rFonts w:cs="Arial"/>
        </w:rPr>
      </w:pPr>
      <w:r w:rsidRPr="00C25E60">
        <w:rPr>
          <w:rFonts w:cs="Arial"/>
        </w:rPr>
        <w:t xml:space="preserve">The Lancashire monthly total for </w:t>
      </w:r>
      <w:r w:rsidRPr="00130851">
        <w:rPr>
          <w:rFonts w:cs="Arial"/>
        </w:rPr>
        <w:t xml:space="preserve">delayed days has </w:t>
      </w:r>
      <w:r w:rsidR="0071173E">
        <w:rPr>
          <w:rFonts w:cs="Arial"/>
        </w:rPr>
        <w:t>dec</w:t>
      </w:r>
      <w:r w:rsidRPr="00130851">
        <w:rPr>
          <w:rFonts w:cs="Arial"/>
        </w:rPr>
        <w:t xml:space="preserve">reased by </w:t>
      </w:r>
      <w:r w:rsidR="0071173E">
        <w:rPr>
          <w:rFonts w:cs="Arial"/>
        </w:rPr>
        <w:t>162</w:t>
      </w:r>
      <w:r w:rsidRPr="00130851">
        <w:rPr>
          <w:rFonts w:cs="Arial"/>
        </w:rPr>
        <w:t xml:space="preserve"> days from 4709 in Oct-17</w:t>
      </w:r>
      <w:r w:rsidR="0071173E">
        <w:rPr>
          <w:rFonts w:cs="Arial"/>
        </w:rPr>
        <w:t xml:space="preserve"> to 4547 in Nov-17</w:t>
      </w:r>
      <w:r w:rsidRPr="00130851">
        <w:rPr>
          <w:rFonts w:cs="Arial"/>
        </w:rPr>
        <w:t>, a</w:t>
      </w:r>
      <w:r w:rsidR="0071173E">
        <w:rPr>
          <w:rFonts w:cs="Arial"/>
        </w:rPr>
        <w:t xml:space="preserve"> de</w:t>
      </w:r>
      <w:r w:rsidRPr="00130851">
        <w:rPr>
          <w:rFonts w:cs="Arial"/>
        </w:rPr>
        <w:t xml:space="preserve">crease of </w:t>
      </w:r>
      <w:r w:rsidR="0071173E">
        <w:rPr>
          <w:rFonts w:cs="Arial"/>
        </w:rPr>
        <w:t>3</w:t>
      </w:r>
      <w:r w:rsidR="00D1552E">
        <w:rPr>
          <w:rFonts w:cs="Arial"/>
        </w:rPr>
        <w:t>.4% (compared with an overall decrease of 9.6% for our comparator authorities and a decrease of 8.8% for all authorities).</w:t>
      </w:r>
    </w:p>
    <w:p w:rsidR="00E74A14" w:rsidRDefault="00E74A14" w:rsidP="00D17A5F">
      <w:pPr>
        <w:rPr>
          <w:rFonts w:cs="Arial"/>
        </w:rPr>
      </w:pPr>
      <w:r>
        <w:rPr>
          <w:noProof/>
          <w:lang w:eastAsia="en-GB"/>
        </w:rPr>
        <w:drawing>
          <wp:inline distT="0" distB="0" distL="0" distR="0" wp14:anchorId="497D314E" wp14:editId="73746E2B">
            <wp:extent cx="5727700" cy="3087585"/>
            <wp:effectExtent l="0" t="0" r="6350" b="1778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9281C" w:rsidRPr="0079281C" w:rsidRDefault="0079281C" w:rsidP="00281495">
      <w:pPr>
        <w:spacing w:after="0"/>
        <w:jc w:val="left"/>
        <w:rPr>
          <w:lang w:eastAsia="en-GB"/>
        </w:rPr>
      </w:pPr>
    </w:p>
    <w:p w:rsidR="00D17A5F" w:rsidRPr="00D17A5F" w:rsidRDefault="00D17A5F" w:rsidP="00D17A5F">
      <w:pPr>
        <w:pStyle w:val="Heading2"/>
        <w:spacing w:before="0" w:after="0"/>
        <w:ind w:left="578" w:hanging="578"/>
        <w:jc w:val="left"/>
      </w:pPr>
      <w:bookmarkStart w:id="2" w:name="_Toc503454130"/>
      <w:r>
        <w:t>Lancashire Detail Nov-17</w:t>
      </w:r>
      <w:bookmarkEnd w:id="2"/>
    </w:p>
    <w:p w:rsidR="0094232A" w:rsidRPr="0094232A" w:rsidRDefault="0094232A" w:rsidP="00281495">
      <w:pPr>
        <w:spacing w:after="0"/>
        <w:jc w:val="left"/>
        <w:rPr>
          <w:lang w:eastAsia="en-GB"/>
        </w:rPr>
      </w:pPr>
    </w:p>
    <w:tbl>
      <w:tblPr>
        <w:tblW w:w="5000" w:type="pct"/>
        <w:tblLayout w:type="fixed"/>
        <w:tblLook w:val="04A0" w:firstRow="1" w:lastRow="0" w:firstColumn="1" w:lastColumn="0" w:noHBand="0" w:noVBand="1"/>
      </w:tblPr>
      <w:tblGrid>
        <w:gridCol w:w="1695"/>
        <w:gridCol w:w="851"/>
        <w:gridCol w:w="991"/>
        <w:gridCol w:w="986"/>
        <w:gridCol w:w="791"/>
        <w:gridCol w:w="917"/>
        <w:gridCol w:w="932"/>
        <w:gridCol w:w="914"/>
        <w:gridCol w:w="933"/>
      </w:tblGrid>
      <w:tr w:rsidR="0071173E" w:rsidRPr="0071173E" w:rsidTr="0071173E">
        <w:trPr>
          <w:trHeight w:val="315"/>
        </w:trPr>
        <w:tc>
          <w:tcPr>
            <w:tcW w:w="9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lef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 </w:t>
            </w:r>
          </w:p>
        </w:tc>
        <w:tc>
          <w:tcPr>
            <w:tcW w:w="2008" w:type="pct"/>
            <w:gridSpan w:val="4"/>
            <w:tcBorders>
              <w:top w:val="single" w:sz="4" w:space="0" w:color="auto"/>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center"/>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Lancashire</w:t>
            </w:r>
          </w:p>
        </w:tc>
        <w:tc>
          <w:tcPr>
            <w:tcW w:w="1026" w:type="pct"/>
            <w:gridSpan w:val="2"/>
            <w:tcBorders>
              <w:top w:val="single" w:sz="4" w:space="0" w:color="auto"/>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center"/>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comparator group</w:t>
            </w:r>
          </w:p>
        </w:tc>
        <w:tc>
          <w:tcPr>
            <w:tcW w:w="1025" w:type="pct"/>
            <w:gridSpan w:val="2"/>
            <w:tcBorders>
              <w:top w:val="single" w:sz="4" w:space="0" w:color="auto"/>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center"/>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all authorities</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b/>
                <w:bCs/>
                <w:color w:val="FFFFFF"/>
                <w:sz w:val="22"/>
                <w:szCs w:val="22"/>
                <w:lang w:eastAsia="en-GB"/>
              </w:rPr>
            </w:pPr>
            <w:r w:rsidRPr="0071173E">
              <w:rPr>
                <w:rFonts w:ascii="Calibri" w:eastAsia="Times New Roman" w:hAnsi="Calibri" w:cs="Times New Roman"/>
                <w:b/>
                <w:bCs/>
                <w:color w:val="FFFFFF"/>
                <w:sz w:val="22"/>
                <w:szCs w:val="22"/>
                <w:lang w:eastAsia="en-GB"/>
              </w:rPr>
              <w:t>Month</w:t>
            </w:r>
          </w:p>
        </w:tc>
        <w:tc>
          <w:tcPr>
            <w:tcW w:w="472" w:type="pct"/>
            <w:tcBorders>
              <w:top w:val="nil"/>
              <w:left w:val="nil"/>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b/>
                <w:bCs/>
                <w:color w:val="FFFFFF"/>
                <w:sz w:val="22"/>
                <w:szCs w:val="22"/>
                <w:lang w:eastAsia="en-GB"/>
              </w:rPr>
            </w:pPr>
            <w:r w:rsidRPr="0071173E">
              <w:rPr>
                <w:rFonts w:ascii="Calibri" w:eastAsia="Times New Roman" w:hAnsi="Calibri" w:cs="Times New Roman"/>
                <w:b/>
                <w:bCs/>
                <w:color w:val="FFFFFF"/>
                <w:sz w:val="22"/>
                <w:szCs w:val="22"/>
                <w:lang w:eastAsia="en-GB"/>
              </w:rPr>
              <w:t>NHS Days</w:t>
            </w:r>
          </w:p>
        </w:tc>
        <w:tc>
          <w:tcPr>
            <w:tcW w:w="550" w:type="pct"/>
            <w:tcBorders>
              <w:top w:val="nil"/>
              <w:left w:val="nil"/>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b/>
                <w:bCs/>
                <w:color w:val="FFFFFF"/>
                <w:sz w:val="22"/>
                <w:szCs w:val="22"/>
                <w:lang w:eastAsia="en-GB"/>
              </w:rPr>
            </w:pPr>
            <w:r w:rsidRPr="0071173E">
              <w:rPr>
                <w:rFonts w:ascii="Calibri" w:eastAsia="Times New Roman" w:hAnsi="Calibri" w:cs="Times New Roman"/>
                <w:b/>
                <w:bCs/>
                <w:color w:val="FFFFFF"/>
                <w:sz w:val="22"/>
                <w:szCs w:val="22"/>
                <w:lang w:eastAsia="en-GB"/>
              </w:rPr>
              <w:t>Social Care Days</w:t>
            </w:r>
          </w:p>
        </w:tc>
        <w:tc>
          <w:tcPr>
            <w:tcW w:w="547" w:type="pct"/>
            <w:tcBorders>
              <w:top w:val="nil"/>
              <w:left w:val="nil"/>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b/>
                <w:bCs/>
                <w:color w:val="FFFFFF"/>
                <w:sz w:val="22"/>
                <w:szCs w:val="22"/>
                <w:lang w:eastAsia="en-GB"/>
              </w:rPr>
            </w:pPr>
            <w:r w:rsidRPr="0071173E">
              <w:rPr>
                <w:rFonts w:ascii="Calibri" w:eastAsia="Times New Roman" w:hAnsi="Calibri" w:cs="Times New Roman"/>
                <w:b/>
                <w:bCs/>
                <w:color w:val="FFFFFF"/>
                <w:sz w:val="22"/>
                <w:szCs w:val="22"/>
                <w:lang w:eastAsia="en-GB"/>
              </w:rPr>
              <w:t>NHS and Social Care Days</w:t>
            </w:r>
          </w:p>
        </w:tc>
        <w:tc>
          <w:tcPr>
            <w:tcW w:w="439" w:type="pct"/>
            <w:tcBorders>
              <w:top w:val="nil"/>
              <w:left w:val="nil"/>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b/>
                <w:bCs/>
                <w:color w:val="FFFFFF"/>
                <w:sz w:val="22"/>
                <w:szCs w:val="22"/>
                <w:lang w:eastAsia="en-GB"/>
              </w:rPr>
            </w:pPr>
            <w:r w:rsidRPr="0071173E">
              <w:rPr>
                <w:rFonts w:ascii="Calibri" w:eastAsia="Times New Roman" w:hAnsi="Calibri" w:cs="Times New Roman"/>
                <w:b/>
                <w:bCs/>
                <w:color w:val="FFFFFF"/>
                <w:sz w:val="22"/>
                <w:szCs w:val="22"/>
                <w:lang w:eastAsia="en-GB"/>
              </w:rPr>
              <w:t>Total Days</w:t>
            </w:r>
          </w:p>
        </w:tc>
        <w:tc>
          <w:tcPr>
            <w:tcW w:w="509" w:type="pct"/>
            <w:tcBorders>
              <w:top w:val="nil"/>
              <w:left w:val="nil"/>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b/>
                <w:bCs/>
                <w:color w:val="FFFFFF"/>
                <w:sz w:val="22"/>
                <w:szCs w:val="22"/>
                <w:lang w:eastAsia="en-GB"/>
              </w:rPr>
            </w:pPr>
            <w:r w:rsidRPr="0071173E">
              <w:rPr>
                <w:rFonts w:ascii="Calibri" w:eastAsia="Times New Roman" w:hAnsi="Calibri" w:cs="Times New Roman"/>
                <w:b/>
                <w:bCs/>
                <w:color w:val="FFFFFF"/>
                <w:sz w:val="22"/>
                <w:szCs w:val="22"/>
                <w:lang w:eastAsia="en-GB"/>
              </w:rPr>
              <w:t>NHS Days</w:t>
            </w:r>
          </w:p>
        </w:tc>
        <w:tc>
          <w:tcPr>
            <w:tcW w:w="517" w:type="pct"/>
            <w:tcBorders>
              <w:top w:val="nil"/>
              <w:left w:val="nil"/>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b/>
                <w:bCs/>
                <w:color w:val="FFFFFF"/>
                <w:sz w:val="22"/>
                <w:szCs w:val="22"/>
                <w:lang w:eastAsia="en-GB"/>
              </w:rPr>
            </w:pPr>
            <w:r w:rsidRPr="0071173E">
              <w:rPr>
                <w:rFonts w:ascii="Calibri" w:eastAsia="Times New Roman" w:hAnsi="Calibri" w:cs="Times New Roman"/>
                <w:b/>
                <w:bCs/>
                <w:color w:val="FFFFFF"/>
                <w:sz w:val="22"/>
                <w:szCs w:val="22"/>
                <w:lang w:eastAsia="en-GB"/>
              </w:rPr>
              <w:t>Social Care Days</w:t>
            </w:r>
          </w:p>
        </w:tc>
        <w:tc>
          <w:tcPr>
            <w:tcW w:w="507" w:type="pct"/>
            <w:tcBorders>
              <w:top w:val="nil"/>
              <w:left w:val="nil"/>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b/>
                <w:bCs/>
                <w:color w:val="FFFFFF"/>
                <w:sz w:val="22"/>
                <w:szCs w:val="22"/>
                <w:lang w:eastAsia="en-GB"/>
              </w:rPr>
            </w:pPr>
            <w:r w:rsidRPr="0071173E">
              <w:rPr>
                <w:rFonts w:ascii="Calibri" w:eastAsia="Times New Roman" w:hAnsi="Calibri" w:cs="Times New Roman"/>
                <w:b/>
                <w:bCs/>
                <w:color w:val="FFFFFF"/>
                <w:sz w:val="22"/>
                <w:szCs w:val="22"/>
                <w:lang w:eastAsia="en-GB"/>
              </w:rPr>
              <w:t>NHS Days</w:t>
            </w:r>
          </w:p>
        </w:tc>
        <w:tc>
          <w:tcPr>
            <w:tcW w:w="518" w:type="pct"/>
            <w:tcBorders>
              <w:top w:val="nil"/>
              <w:left w:val="nil"/>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b/>
                <w:bCs/>
                <w:color w:val="FFFFFF"/>
                <w:sz w:val="22"/>
                <w:szCs w:val="22"/>
                <w:lang w:eastAsia="en-GB"/>
              </w:rPr>
            </w:pPr>
            <w:r w:rsidRPr="0071173E">
              <w:rPr>
                <w:rFonts w:ascii="Calibri" w:eastAsia="Times New Roman" w:hAnsi="Calibri" w:cs="Times New Roman"/>
                <w:b/>
                <w:bCs/>
                <w:color w:val="FFFFFF"/>
                <w:sz w:val="22"/>
                <w:szCs w:val="22"/>
                <w:lang w:eastAsia="en-GB"/>
              </w:rPr>
              <w:t>Social Care Days</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ind w:firstLineChars="100" w:firstLine="220"/>
              <w:jc w:val="lef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Nov-16</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3145</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931</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399</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4475</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33237</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18949</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110566</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67185</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auto" w:fill="auto"/>
            <w:noWrap/>
            <w:vAlign w:val="bottom"/>
          </w:tcPr>
          <w:p w:rsidR="0071173E" w:rsidRPr="0071173E" w:rsidRDefault="0071173E" w:rsidP="0071173E">
            <w:pPr>
              <w:autoSpaceDE/>
              <w:autoSpaceDN/>
              <w:adjustRightInd/>
              <w:spacing w:after="0"/>
              <w:ind w:firstLineChars="100" w:firstLine="220"/>
              <w:jc w:val="left"/>
              <w:rPr>
                <w:rFonts w:ascii="Calibri" w:eastAsia="Times New Roman" w:hAnsi="Calibri" w:cs="Times New Roman"/>
                <w:sz w:val="22"/>
                <w:szCs w:val="22"/>
                <w:lang w:eastAsia="en-GB"/>
              </w:rPr>
            </w:pPr>
          </w:p>
        </w:tc>
        <w:tc>
          <w:tcPr>
            <w:tcW w:w="472" w:type="pct"/>
            <w:tcBorders>
              <w:top w:val="nil"/>
              <w:left w:val="nil"/>
              <w:bottom w:val="single" w:sz="4" w:space="0" w:color="auto"/>
              <w:right w:val="single" w:sz="4" w:space="0" w:color="auto"/>
            </w:tcBorders>
            <w:shd w:val="clear" w:color="auto" w:fill="auto"/>
            <w:noWrap/>
            <w:vAlign w:val="bottom"/>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p>
        </w:tc>
        <w:tc>
          <w:tcPr>
            <w:tcW w:w="550" w:type="pct"/>
            <w:tcBorders>
              <w:top w:val="nil"/>
              <w:left w:val="nil"/>
              <w:bottom w:val="single" w:sz="4" w:space="0" w:color="auto"/>
              <w:right w:val="single" w:sz="4" w:space="0" w:color="auto"/>
            </w:tcBorders>
            <w:shd w:val="clear" w:color="auto" w:fill="auto"/>
            <w:noWrap/>
            <w:vAlign w:val="bottom"/>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p>
        </w:tc>
        <w:tc>
          <w:tcPr>
            <w:tcW w:w="547" w:type="pct"/>
            <w:tcBorders>
              <w:top w:val="nil"/>
              <w:left w:val="nil"/>
              <w:bottom w:val="single" w:sz="4" w:space="0" w:color="auto"/>
              <w:right w:val="single" w:sz="4" w:space="0" w:color="auto"/>
            </w:tcBorders>
            <w:shd w:val="clear" w:color="auto" w:fill="auto"/>
            <w:noWrap/>
            <w:vAlign w:val="bottom"/>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p>
        </w:tc>
        <w:tc>
          <w:tcPr>
            <w:tcW w:w="439" w:type="pct"/>
            <w:tcBorders>
              <w:top w:val="nil"/>
              <w:left w:val="nil"/>
              <w:bottom w:val="single" w:sz="4" w:space="0" w:color="auto"/>
              <w:right w:val="single" w:sz="4" w:space="0" w:color="auto"/>
            </w:tcBorders>
            <w:shd w:val="clear" w:color="auto" w:fill="auto"/>
            <w:noWrap/>
            <w:vAlign w:val="bottom"/>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p>
        </w:tc>
        <w:tc>
          <w:tcPr>
            <w:tcW w:w="509" w:type="pct"/>
            <w:tcBorders>
              <w:top w:val="nil"/>
              <w:left w:val="nil"/>
              <w:bottom w:val="single" w:sz="4" w:space="0" w:color="auto"/>
              <w:right w:val="single" w:sz="4" w:space="0" w:color="auto"/>
            </w:tcBorders>
            <w:shd w:val="clear" w:color="auto" w:fill="auto"/>
            <w:noWrap/>
            <w:vAlign w:val="bottom"/>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p>
        </w:tc>
        <w:tc>
          <w:tcPr>
            <w:tcW w:w="517" w:type="pct"/>
            <w:tcBorders>
              <w:top w:val="nil"/>
              <w:left w:val="nil"/>
              <w:bottom w:val="single" w:sz="4" w:space="0" w:color="auto"/>
              <w:right w:val="single" w:sz="4" w:space="0" w:color="auto"/>
            </w:tcBorders>
            <w:shd w:val="clear" w:color="auto" w:fill="auto"/>
            <w:noWrap/>
            <w:vAlign w:val="bottom"/>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p>
        </w:tc>
        <w:tc>
          <w:tcPr>
            <w:tcW w:w="507" w:type="pct"/>
            <w:tcBorders>
              <w:top w:val="nil"/>
              <w:left w:val="nil"/>
              <w:bottom w:val="single" w:sz="4" w:space="0" w:color="auto"/>
              <w:right w:val="single" w:sz="4" w:space="0" w:color="auto"/>
            </w:tcBorders>
            <w:shd w:val="clear" w:color="auto" w:fill="auto"/>
            <w:noWrap/>
            <w:vAlign w:val="bottom"/>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p>
        </w:tc>
        <w:tc>
          <w:tcPr>
            <w:tcW w:w="518" w:type="pct"/>
            <w:tcBorders>
              <w:top w:val="nil"/>
              <w:left w:val="nil"/>
              <w:bottom w:val="single" w:sz="4" w:space="0" w:color="auto"/>
              <w:right w:val="single" w:sz="4" w:space="0" w:color="auto"/>
            </w:tcBorders>
            <w:shd w:val="clear" w:color="auto" w:fill="auto"/>
            <w:noWrap/>
            <w:vAlign w:val="bottom"/>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ind w:firstLineChars="100" w:firstLine="220"/>
              <w:jc w:val="lef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Apr-17</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2217</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2140</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252</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4609</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25306</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20629</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96798</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67597</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ind w:firstLineChars="100" w:firstLine="220"/>
              <w:jc w:val="lef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May-17</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2035</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2531</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232</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4798</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26370</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19787</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99179</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65880</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ind w:firstLineChars="100" w:firstLine="220"/>
              <w:jc w:val="lef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Jun-17</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1953</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2436</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254</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4643</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25907</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20012</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98223</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67190</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ind w:firstLineChars="100" w:firstLine="220"/>
              <w:jc w:val="lef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Jul-17</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1911</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2824</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162</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4897</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26272</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20661</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101681</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68098</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ind w:firstLineChars="100" w:firstLine="220"/>
              <w:jc w:val="lef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Aug-17</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1780</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2306</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297</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4383</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24019</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19883</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100234</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67089</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ind w:firstLineChars="100" w:firstLine="220"/>
              <w:jc w:val="lef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Sep-17</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1922</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2218</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371</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4511</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24157</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18045</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95298</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60769</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ind w:firstLineChars="100" w:firstLine="220"/>
              <w:jc w:val="lef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Oct-17</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2472</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1872</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365</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4709</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25558</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16343</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97155</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60071</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ind w:firstLineChars="100" w:firstLine="220"/>
              <w:jc w:val="lef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Nov-17</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2216</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1936</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395</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4547</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23311</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13911</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90471</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52783</w:t>
            </w:r>
          </w:p>
        </w:tc>
      </w:tr>
      <w:tr w:rsidR="0071173E" w:rsidRPr="0071173E" w:rsidTr="0071173E">
        <w:trPr>
          <w:trHeight w:val="315"/>
        </w:trPr>
        <w:tc>
          <w:tcPr>
            <w:tcW w:w="941" w:type="pct"/>
            <w:tcBorders>
              <w:top w:val="nil"/>
              <w:left w:val="single" w:sz="4" w:space="0" w:color="auto"/>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color w:val="FFFFFF"/>
                <w:sz w:val="22"/>
                <w:szCs w:val="22"/>
                <w:lang w:eastAsia="en-GB"/>
              </w:rPr>
            </w:pPr>
            <w:r w:rsidRPr="0071173E">
              <w:rPr>
                <w:rFonts w:ascii="Calibri" w:eastAsia="Times New Roman" w:hAnsi="Calibri" w:cs="Times New Roman"/>
                <w:color w:val="FFFFFF"/>
                <w:sz w:val="22"/>
                <w:szCs w:val="22"/>
                <w:lang w:eastAsia="en-GB"/>
              </w:rPr>
              <w:t>Diff (Oct-Nov)</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-256</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64</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30</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-162</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-2247</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-2432</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-6684</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-7288</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color w:val="FFFFFF"/>
                <w:sz w:val="22"/>
                <w:szCs w:val="22"/>
                <w:lang w:eastAsia="en-GB"/>
              </w:rPr>
            </w:pPr>
            <w:r w:rsidRPr="0071173E">
              <w:rPr>
                <w:rFonts w:ascii="Calibri" w:eastAsia="Times New Roman" w:hAnsi="Calibri" w:cs="Times New Roman"/>
                <w:color w:val="FFFFFF"/>
                <w:sz w:val="22"/>
                <w:szCs w:val="22"/>
                <w:lang w:eastAsia="en-GB"/>
              </w:rPr>
              <w:t>%diff (Oct-Nov)</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-10.4%</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3.4%</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8.2%</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-3.4%</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-8.8%</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-14.9%</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-6.9%</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-12.1%</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color w:val="FFFFFF"/>
                <w:sz w:val="22"/>
                <w:szCs w:val="22"/>
                <w:lang w:eastAsia="en-GB"/>
              </w:rPr>
            </w:pPr>
            <w:r w:rsidRPr="0071173E">
              <w:rPr>
                <w:rFonts w:ascii="Calibri" w:eastAsia="Times New Roman" w:hAnsi="Calibri" w:cs="Times New Roman"/>
                <w:color w:val="FFFFFF"/>
                <w:sz w:val="22"/>
                <w:szCs w:val="22"/>
                <w:lang w:eastAsia="en-GB"/>
              </w:rPr>
              <w:t>Diff (Nov-Nov)</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-929</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1005</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-4</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72</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-9926</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-5038</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-20095</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-14402</w:t>
            </w:r>
          </w:p>
        </w:tc>
      </w:tr>
      <w:tr w:rsidR="0071173E" w:rsidRPr="0071173E" w:rsidTr="0071173E">
        <w:trPr>
          <w:trHeight w:val="300"/>
        </w:trPr>
        <w:tc>
          <w:tcPr>
            <w:tcW w:w="941" w:type="pct"/>
            <w:tcBorders>
              <w:top w:val="nil"/>
              <w:left w:val="single" w:sz="4" w:space="0" w:color="auto"/>
              <w:bottom w:val="single" w:sz="4" w:space="0" w:color="auto"/>
              <w:right w:val="single" w:sz="4" w:space="0" w:color="auto"/>
            </w:tcBorders>
            <w:shd w:val="clear" w:color="4F81BD" w:fill="4F81BD"/>
            <w:noWrap/>
            <w:vAlign w:val="bottom"/>
            <w:hideMark/>
          </w:tcPr>
          <w:p w:rsidR="0071173E" w:rsidRPr="0071173E" w:rsidRDefault="0071173E" w:rsidP="0071173E">
            <w:pPr>
              <w:autoSpaceDE/>
              <w:autoSpaceDN/>
              <w:adjustRightInd/>
              <w:spacing w:after="0"/>
              <w:jc w:val="left"/>
              <w:rPr>
                <w:rFonts w:ascii="Calibri" w:eastAsia="Times New Roman" w:hAnsi="Calibri" w:cs="Times New Roman"/>
                <w:color w:val="FFFFFF"/>
                <w:sz w:val="22"/>
                <w:szCs w:val="22"/>
                <w:lang w:eastAsia="en-GB"/>
              </w:rPr>
            </w:pPr>
            <w:r w:rsidRPr="0071173E">
              <w:rPr>
                <w:rFonts w:ascii="Calibri" w:eastAsia="Times New Roman" w:hAnsi="Calibri" w:cs="Times New Roman"/>
                <w:color w:val="FFFFFF"/>
                <w:sz w:val="22"/>
                <w:szCs w:val="22"/>
                <w:lang w:eastAsia="en-GB"/>
              </w:rPr>
              <w:t>%diff (Nov-Nov)</w:t>
            </w:r>
          </w:p>
        </w:tc>
        <w:tc>
          <w:tcPr>
            <w:tcW w:w="472"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-29.5%</w:t>
            </w:r>
          </w:p>
        </w:tc>
        <w:tc>
          <w:tcPr>
            <w:tcW w:w="550"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107.9%</w:t>
            </w:r>
          </w:p>
        </w:tc>
        <w:tc>
          <w:tcPr>
            <w:tcW w:w="54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-1.0%</w:t>
            </w:r>
          </w:p>
        </w:tc>
        <w:tc>
          <w:tcPr>
            <w:tcW w:w="43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1.6%</w:t>
            </w:r>
          </w:p>
        </w:tc>
        <w:tc>
          <w:tcPr>
            <w:tcW w:w="509"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-29.9%</w:t>
            </w:r>
          </w:p>
        </w:tc>
        <w:tc>
          <w:tcPr>
            <w:tcW w:w="51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-26.6%</w:t>
            </w:r>
          </w:p>
        </w:tc>
        <w:tc>
          <w:tcPr>
            <w:tcW w:w="507"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-18.2%</w:t>
            </w:r>
          </w:p>
        </w:tc>
        <w:tc>
          <w:tcPr>
            <w:tcW w:w="518" w:type="pct"/>
            <w:tcBorders>
              <w:top w:val="nil"/>
              <w:left w:val="nil"/>
              <w:bottom w:val="single" w:sz="4" w:space="0" w:color="auto"/>
              <w:right w:val="single" w:sz="4" w:space="0" w:color="auto"/>
            </w:tcBorders>
            <w:shd w:val="clear" w:color="auto" w:fill="auto"/>
            <w:noWrap/>
            <w:vAlign w:val="bottom"/>
            <w:hideMark/>
          </w:tcPr>
          <w:p w:rsidR="0071173E" w:rsidRPr="0071173E" w:rsidRDefault="0071173E" w:rsidP="0071173E">
            <w:pPr>
              <w:autoSpaceDE/>
              <w:autoSpaceDN/>
              <w:adjustRightInd/>
              <w:spacing w:after="0"/>
              <w:jc w:val="right"/>
              <w:rPr>
                <w:rFonts w:ascii="Calibri" w:eastAsia="Times New Roman" w:hAnsi="Calibri" w:cs="Times New Roman"/>
                <w:sz w:val="22"/>
                <w:szCs w:val="22"/>
                <w:lang w:eastAsia="en-GB"/>
              </w:rPr>
            </w:pPr>
            <w:r w:rsidRPr="0071173E">
              <w:rPr>
                <w:rFonts w:ascii="Calibri" w:eastAsia="Times New Roman" w:hAnsi="Calibri" w:cs="Times New Roman"/>
                <w:sz w:val="22"/>
                <w:szCs w:val="22"/>
                <w:lang w:eastAsia="en-GB"/>
              </w:rPr>
              <w:t>-21.4%</w:t>
            </w:r>
          </w:p>
        </w:tc>
      </w:tr>
    </w:tbl>
    <w:p w:rsidR="0071173E" w:rsidRDefault="0071173E" w:rsidP="00281495">
      <w:pPr>
        <w:pStyle w:val="BodyText"/>
        <w:spacing w:before="0" w:after="0"/>
        <w:jc w:val="left"/>
        <w:rPr>
          <w:rFonts w:cs="Arial"/>
        </w:rPr>
      </w:pPr>
    </w:p>
    <w:p w:rsidR="00AE5C83" w:rsidRPr="00D1552E" w:rsidRDefault="00AE5C83" w:rsidP="00281495">
      <w:pPr>
        <w:pStyle w:val="BodyText"/>
        <w:spacing w:before="0" w:after="0"/>
        <w:jc w:val="left"/>
        <w:rPr>
          <w:rFonts w:cs="Arial"/>
        </w:rPr>
      </w:pPr>
      <w:r w:rsidRPr="00D1552E">
        <w:rPr>
          <w:rFonts w:cs="Arial"/>
        </w:rPr>
        <w:t>The 1</w:t>
      </w:r>
      <w:r w:rsidR="0071173E" w:rsidRPr="00D1552E">
        <w:rPr>
          <w:rFonts w:cs="Arial"/>
        </w:rPr>
        <w:t>62</w:t>
      </w:r>
      <w:r w:rsidRPr="00D1552E">
        <w:rPr>
          <w:rFonts w:cs="Arial"/>
        </w:rPr>
        <w:t xml:space="preserve"> days </w:t>
      </w:r>
      <w:r w:rsidR="0071173E" w:rsidRPr="00D1552E">
        <w:rPr>
          <w:rFonts w:cs="Arial"/>
        </w:rPr>
        <w:t>dec</w:t>
      </w:r>
      <w:r w:rsidRPr="00D1552E">
        <w:rPr>
          <w:rFonts w:cs="Arial"/>
        </w:rPr>
        <w:t>rease for Lancashire includes a</w:t>
      </w:r>
      <w:r w:rsidR="0071173E" w:rsidRPr="00D1552E">
        <w:rPr>
          <w:rFonts w:cs="Arial"/>
        </w:rPr>
        <w:t xml:space="preserve"> de</w:t>
      </w:r>
      <w:r w:rsidRPr="00D1552E">
        <w:rPr>
          <w:rFonts w:cs="Arial"/>
        </w:rPr>
        <w:t xml:space="preserve">crease of </w:t>
      </w:r>
      <w:r w:rsidR="0071173E" w:rsidRPr="00D1552E">
        <w:rPr>
          <w:rFonts w:cs="Arial"/>
        </w:rPr>
        <w:t>256</w:t>
      </w:r>
      <w:r w:rsidRPr="00D1552E">
        <w:rPr>
          <w:rFonts w:cs="Arial"/>
        </w:rPr>
        <w:t xml:space="preserve"> attributable to NHS (a</w:t>
      </w:r>
      <w:r w:rsidR="0071173E" w:rsidRPr="00D1552E">
        <w:rPr>
          <w:rFonts w:cs="Arial"/>
        </w:rPr>
        <w:t xml:space="preserve"> de</w:t>
      </w:r>
      <w:r w:rsidRPr="00D1552E">
        <w:rPr>
          <w:rFonts w:cs="Arial"/>
        </w:rPr>
        <w:t xml:space="preserve">crease of </w:t>
      </w:r>
      <w:r w:rsidR="0071173E" w:rsidRPr="00D1552E">
        <w:rPr>
          <w:rFonts w:cs="Arial"/>
        </w:rPr>
        <w:t>10.4</w:t>
      </w:r>
      <w:r w:rsidRPr="00D1552E">
        <w:rPr>
          <w:rFonts w:cs="Arial"/>
        </w:rPr>
        <w:t>%) and a</w:t>
      </w:r>
      <w:r w:rsidR="0071173E" w:rsidRPr="00D1552E">
        <w:rPr>
          <w:rFonts w:cs="Arial"/>
        </w:rPr>
        <w:t>n in</w:t>
      </w:r>
      <w:r w:rsidRPr="00D1552E">
        <w:rPr>
          <w:rFonts w:cs="Arial"/>
        </w:rPr>
        <w:t xml:space="preserve">crease of </w:t>
      </w:r>
      <w:r w:rsidR="0071173E" w:rsidRPr="00D1552E">
        <w:rPr>
          <w:rFonts w:cs="Arial"/>
        </w:rPr>
        <w:t>64</w:t>
      </w:r>
      <w:r w:rsidRPr="00D1552E">
        <w:rPr>
          <w:rFonts w:cs="Arial"/>
        </w:rPr>
        <w:t xml:space="preserve"> attributable to social care (a</w:t>
      </w:r>
      <w:r w:rsidR="0071173E" w:rsidRPr="00D1552E">
        <w:rPr>
          <w:rFonts w:cs="Arial"/>
        </w:rPr>
        <w:t>n in</w:t>
      </w:r>
      <w:r w:rsidRPr="00D1552E">
        <w:rPr>
          <w:rFonts w:cs="Arial"/>
        </w:rPr>
        <w:t xml:space="preserve">crease of </w:t>
      </w:r>
      <w:r w:rsidR="0071173E" w:rsidRPr="00D1552E">
        <w:rPr>
          <w:rFonts w:cs="Arial"/>
        </w:rPr>
        <w:t>3.4</w:t>
      </w:r>
      <w:r w:rsidRPr="00D1552E">
        <w:rPr>
          <w:rFonts w:cs="Arial"/>
        </w:rPr>
        <w:t>%). By comparison, our comparator group shows a</w:t>
      </w:r>
      <w:r w:rsidR="0071173E" w:rsidRPr="00D1552E">
        <w:rPr>
          <w:rFonts w:cs="Arial"/>
        </w:rPr>
        <w:t>n 8</w:t>
      </w:r>
      <w:r w:rsidRPr="00D1552E">
        <w:rPr>
          <w:rFonts w:cs="Arial"/>
        </w:rPr>
        <w:t xml:space="preserve">.8% overall </w:t>
      </w:r>
      <w:r w:rsidR="0071173E" w:rsidRPr="00D1552E">
        <w:rPr>
          <w:rFonts w:cs="Arial"/>
        </w:rPr>
        <w:t>de</w:t>
      </w:r>
      <w:r w:rsidRPr="00D1552E">
        <w:rPr>
          <w:rFonts w:cs="Arial"/>
        </w:rPr>
        <w:t xml:space="preserve">crease in days attributable to NHS and a </w:t>
      </w:r>
      <w:r w:rsidR="00D1552E" w:rsidRPr="00D1552E">
        <w:rPr>
          <w:rFonts w:cs="Arial"/>
        </w:rPr>
        <w:t>14</w:t>
      </w:r>
      <w:r w:rsidRPr="00D1552E">
        <w:rPr>
          <w:rFonts w:cs="Arial"/>
        </w:rPr>
        <w:t>.</w:t>
      </w:r>
      <w:r w:rsidR="00D1552E" w:rsidRPr="00D1552E">
        <w:rPr>
          <w:rFonts w:cs="Arial"/>
        </w:rPr>
        <w:t>9</w:t>
      </w:r>
      <w:r w:rsidRPr="00D1552E">
        <w:rPr>
          <w:rFonts w:cs="Arial"/>
        </w:rPr>
        <w:t xml:space="preserve">% overall decrease in days attributable to social care. The total for all authorities has </w:t>
      </w:r>
      <w:r w:rsidR="00D1552E" w:rsidRPr="00D1552E">
        <w:rPr>
          <w:rFonts w:cs="Arial"/>
        </w:rPr>
        <w:t>fall</w:t>
      </w:r>
      <w:r w:rsidRPr="00D1552E">
        <w:rPr>
          <w:rFonts w:cs="Arial"/>
        </w:rPr>
        <w:t xml:space="preserve">en overall by </w:t>
      </w:r>
      <w:r w:rsidR="00D1552E" w:rsidRPr="00D1552E">
        <w:rPr>
          <w:rFonts w:cs="Arial"/>
        </w:rPr>
        <w:t>6.9</w:t>
      </w:r>
      <w:r w:rsidRPr="00D1552E">
        <w:rPr>
          <w:rFonts w:cs="Arial"/>
        </w:rPr>
        <w:t xml:space="preserve">% for NHS and fallen by </w:t>
      </w:r>
      <w:r w:rsidR="00D1552E" w:rsidRPr="00D1552E">
        <w:rPr>
          <w:rFonts w:cs="Arial"/>
        </w:rPr>
        <w:t>12.1</w:t>
      </w:r>
      <w:r w:rsidRPr="00D1552E">
        <w:rPr>
          <w:rFonts w:cs="Arial"/>
        </w:rPr>
        <w:t>% for social care.</w:t>
      </w:r>
    </w:p>
    <w:p w:rsidR="00AE5C83" w:rsidRPr="00D1552E" w:rsidRDefault="00AE5C83" w:rsidP="00281495">
      <w:pPr>
        <w:pStyle w:val="BodyText"/>
        <w:spacing w:before="0" w:after="0"/>
        <w:jc w:val="left"/>
        <w:rPr>
          <w:rFonts w:cs="Arial"/>
        </w:rPr>
      </w:pPr>
    </w:p>
    <w:p w:rsidR="0094232A" w:rsidRPr="005B555D" w:rsidRDefault="00AE5C83" w:rsidP="00AE5C83">
      <w:pPr>
        <w:pStyle w:val="BodyText"/>
        <w:spacing w:before="0" w:after="120"/>
        <w:jc w:val="left"/>
      </w:pPr>
      <w:r w:rsidRPr="00D1552E">
        <w:rPr>
          <w:rFonts w:cs="Arial"/>
        </w:rPr>
        <w:t xml:space="preserve">In comparison with the previous year, the </w:t>
      </w:r>
      <w:r w:rsidR="00D1552E" w:rsidRPr="00D1552E">
        <w:rPr>
          <w:rFonts w:cs="Arial"/>
        </w:rPr>
        <w:t>Nov</w:t>
      </w:r>
      <w:r w:rsidRPr="00D1552E">
        <w:rPr>
          <w:rFonts w:cs="Arial"/>
        </w:rPr>
        <w:t>-17 figure of 4</w:t>
      </w:r>
      <w:r w:rsidR="00D1552E" w:rsidRPr="00D1552E">
        <w:rPr>
          <w:rFonts w:cs="Arial"/>
        </w:rPr>
        <w:t>547</w:t>
      </w:r>
      <w:r w:rsidRPr="00D1552E">
        <w:rPr>
          <w:rFonts w:cs="Arial"/>
        </w:rPr>
        <w:t xml:space="preserve"> represents a </w:t>
      </w:r>
      <w:r w:rsidR="00D1552E" w:rsidRPr="00D1552E">
        <w:rPr>
          <w:rFonts w:cs="Arial"/>
        </w:rPr>
        <w:t>1.6</w:t>
      </w:r>
      <w:r w:rsidRPr="00D1552E">
        <w:rPr>
          <w:rFonts w:cs="Arial"/>
        </w:rPr>
        <w:t>% increase when compared with 4</w:t>
      </w:r>
      <w:r w:rsidR="00D1552E" w:rsidRPr="00D1552E">
        <w:rPr>
          <w:rFonts w:cs="Arial"/>
        </w:rPr>
        <w:t>475</w:t>
      </w:r>
      <w:r w:rsidRPr="00D1552E">
        <w:rPr>
          <w:rFonts w:cs="Arial"/>
        </w:rPr>
        <w:t xml:space="preserve"> days recorded in </w:t>
      </w:r>
      <w:r w:rsidR="00D1552E" w:rsidRPr="00D1552E">
        <w:rPr>
          <w:rFonts w:cs="Arial"/>
        </w:rPr>
        <w:t>Nov</w:t>
      </w:r>
      <w:r w:rsidRPr="00D1552E">
        <w:rPr>
          <w:rFonts w:cs="Arial"/>
        </w:rPr>
        <w:t xml:space="preserve">-16.  Days attributable to NHS have decreased by </w:t>
      </w:r>
      <w:r w:rsidR="00D1552E" w:rsidRPr="00D1552E">
        <w:rPr>
          <w:rFonts w:cs="Arial"/>
        </w:rPr>
        <w:t>29.5</w:t>
      </w:r>
      <w:r w:rsidRPr="00D1552E">
        <w:rPr>
          <w:rFonts w:cs="Arial"/>
        </w:rPr>
        <w:t xml:space="preserve">% from </w:t>
      </w:r>
      <w:r w:rsidR="00D1552E" w:rsidRPr="00D1552E">
        <w:rPr>
          <w:rFonts w:cs="Arial"/>
        </w:rPr>
        <w:t>Nov</w:t>
      </w:r>
      <w:r w:rsidRPr="00D1552E">
        <w:rPr>
          <w:rFonts w:cs="Arial"/>
        </w:rPr>
        <w:t xml:space="preserve">-16 to </w:t>
      </w:r>
      <w:r w:rsidR="00D1552E" w:rsidRPr="00D1552E">
        <w:rPr>
          <w:rFonts w:cs="Arial"/>
        </w:rPr>
        <w:t>Nov-</w:t>
      </w:r>
      <w:r w:rsidRPr="00D1552E">
        <w:rPr>
          <w:rFonts w:cs="Arial"/>
        </w:rPr>
        <w:t xml:space="preserve">17 and days attributable to </w:t>
      </w:r>
      <w:r w:rsidRPr="005B555D">
        <w:rPr>
          <w:rFonts w:cs="Arial"/>
        </w:rPr>
        <w:t xml:space="preserve">social care have increased by </w:t>
      </w:r>
      <w:r w:rsidR="00D1552E" w:rsidRPr="005B555D">
        <w:rPr>
          <w:rFonts w:cs="Arial"/>
        </w:rPr>
        <w:t>107.9</w:t>
      </w:r>
      <w:r w:rsidRPr="005B555D">
        <w:rPr>
          <w:rFonts w:cs="Arial"/>
        </w:rPr>
        <w:t>% over the same period.</w:t>
      </w:r>
    </w:p>
    <w:p w:rsidR="00D17A5F" w:rsidRPr="005B555D" w:rsidRDefault="00D17A5F" w:rsidP="00D17A5F">
      <w:pPr>
        <w:pStyle w:val="Heading2"/>
      </w:pPr>
      <w:bookmarkStart w:id="3" w:name="_Toc503454131"/>
      <w:r w:rsidRPr="005B555D">
        <w:t>Proportions attributable to NHS and social care</w:t>
      </w:r>
      <w:bookmarkEnd w:id="3"/>
    </w:p>
    <w:p w:rsidR="00D17A5F" w:rsidRDefault="00D17A5F" w:rsidP="00D17A5F">
      <w:pPr>
        <w:spacing w:before="120"/>
        <w:rPr>
          <w:rFonts w:cs="Arial"/>
        </w:rPr>
      </w:pPr>
      <w:r w:rsidRPr="005B555D">
        <w:rPr>
          <w:rFonts w:cs="Arial"/>
        </w:rPr>
        <w:t xml:space="preserve">In </w:t>
      </w:r>
      <w:r w:rsidR="00E74A14" w:rsidRPr="005B555D">
        <w:rPr>
          <w:rFonts w:cs="Arial"/>
        </w:rPr>
        <w:t>Nov</w:t>
      </w:r>
      <w:r w:rsidRPr="005B555D">
        <w:rPr>
          <w:rFonts w:cs="Arial"/>
        </w:rPr>
        <w:t xml:space="preserve">-17 for Lancashire a total of </w:t>
      </w:r>
      <w:r w:rsidR="00E74A14" w:rsidRPr="005B555D">
        <w:rPr>
          <w:rFonts w:cs="Arial"/>
        </w:rPr>
        <w:t>48.7</w:t>
      </w:r>
      <w:r w:rsidRPr="005B555D">
        <w:rPr>
          <w:rFonts w:cs="Arial"/>
        </w:rPr>
        <w:t>% of delays were attributable to NHS (</w:t>
      </w:r>
      <w:r w:rsidR="00E74A14" w:rsidRPr="005B555D">
        <w:rPr>
          <w:rFonts w:cs="Arial"/>
        </w:rPr>
        <w:t>down</w:t>
      </w:r>
      <w:r w:rsidRPr="005B555D">
        <w:rPr>
          <w:rFonts w:cs="Arial"/>
        </w:rPr>
        <w:t xml:space="preserve"> from </w:t>
      </w:r>
      <w:r w:rsidR="00E74A14" w:rsidRPr="005B555D">
        <w:rPr>
          <w:rFonts w:cs="Arial"/>
        </w:rPr>
        <w:t>52.5</w:t>
      </w:r>
      <w:r w:rsidRPr="005B555D">
        <w:rPr>
          <w:rFonts w:cs="Arial"/>
        </w:rPr>
        <w:t xml:space="preserve">%) and </w:t>
      </w:r>
      <w:r w:rsidR="00E74A14" w:rsidRPr="005B555D">
        <w:rPr>
          <w:rFonts w:cs="Arial"/>
        </w:rPr>
        <w:t>42.6</w:t>
      </w:r>
      <w:r w:rsidRPr="005B555D">
        <w:rPr>
          <w:rFonts w:cs="Arial"/>
        </w:rPr>
        <w:t>% were attributable to social care (</w:t>
      </w:r>
      <w:r w:rsidR="00E74A14" w:rsidRPr="005B555D">
        <w:rPr>
          <w:rFonts w:cs="Arial"/>
        </w:rPr>
        <w:t>up</w:t>
      </w:r>
      <w:r w:rsidRPr="005B555D">
        <w:rPr>
          <w:rFonts w:cs="Arial"/>
        </w:rPr>
        <w:t xml:space="preserve"> from </w:t>
      </w:r>
      <w:r w:rsidR="00E74A14" w:rsidRPr="005B555D">
        <w:rPr>
          <w:rFonts w:cs="Arial"/>
        </w:rPr>
        <w:t>39.8</w:t>
      </w:r>
      <w:r w:rsidRPr="005B555D">
        <w:rPr>
          <w:rFonts w:cs="Arial"/>
        </w:rPr>
        <w:t xml:space="preserve">%), compared with the national figures of </w:t>
      </w:r>
      <w:r w:rsidR="00E74A14" w:rsidRPr="005B555D">
        <w:rPr>
          <w:rFonts w:cs="Arial"/>
        </w:rPr>
        <w:t>58.3</w:t>
      </w:r>
      <w:r w:rsidRPr="005B555D">
        <w:rPr>
          <w:rFonts w:cs="Arial"/>
        </w:rPr>
        <w:t xml:space="preserve">% attributable to NHS and </w:t>
      </w:r>
      <w:r w:rsidR="00E74A14" w:rsidRPr="005B555D">
        <w:rPr>
          <w:rFonts w:cs="Arial"/>
        </w:rPr>
        <w:t>34.0</w:t>
      </w:r>
      <w:r w:rsidRPr="005B555D">
        <w:rPr>
          <w:rFonts w:cs="Arial"/>
        </w:rPr>
        <w:t xml:space="preserve">% to social care. This is now the </w:t>
      </w:r>
      <w:r w:rsidR="00E74A14" w:rsidRPr="005B555D">
        <w:rPr>
          <w:rFonts w:cs="Arial"/>
        </w:rPr>
        <w:t>tent</w:t>
      </w:r>
      <w:r w:rsidRPr="005B555D">
        <w:rPr>
          <w:rFonts w:cs="Arial"/>
        </w:rPr>
        <w:t xml:space="preserve">h successive month Lancashire has shown a larger proportion of delays attributable to social care than the overall national figure, but </w:t>
      </w:r>
      <w:r w:rsidR="00E74A14" w:rsidRPr="005B555D">
        <w:rPr>
          <w:rFonts w:cs="Arial"/>
        </w:rPr>
        <w:t xml:space="preserve">overall </w:t>
      </w:r>
      <w:r w:rsidRPr="005B555D">
        <w:rPr>
          <w:rFonts w:cs="Arial"/>
        </w:rPr>
        <w:t xml:space="preserve">the proportion is </w:t>
      </w:r>
      <w:r w:rsidR="00E74A14" w:rsidRPr="005B555D">
        <w:rPr>
          <w:rFonts w:cs="Arial"/>
        </w:rPr>
        <w:t xml:space="preserve">still </w:t>
      </w:r>
      <w:r w:rsidRPr="005B555D">
        <w:rPr>
          <w:rFonts w:cs="Arial"/>
        </w:rPr>
        <w:t>showing a steady improvement.</w:t>
      </w:r>
    </w:p>
    <w:tbl>
      <w:tblPr>
        <w:tblW w:w="9180" w:type="dxa"/>
        <w:tblLook w:val="04A0" w:firstRow="1" w:lastRow="0" w:firstColumn="1" w:lastColumn="0" w:noHBand="0" w:noVBand="1"/>
      </w:tblPr>
      <w:tblGrid>
        <w:gridCol w:w="2064"/>
        <w:gridCol w:w="1188"/>
        <w:gridCol w:w="1850"/>
        <w:gridCol w:w="2882"/>
        <w:gridCol w:w="1196"/>
      </w:tblGrid>
      <w:tr w:rsidR="00E74A14" w:rsidRPr="00E74A14" w:rsidTr="00E74A14">
        <w:trPr>
          <w:trHeight w:val="316"/>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Nov-17</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lef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 </w:t>
            </w:r>
          </w:p>
        </w:tc>
        <w:tc>
          <w:tcPr>
            <w:tcW w:w="1850" w:type="dxa"/>
            <w:tcBorders>
              <w:top w:val="single" w:sz="4" w:space="0" w:color="auto"/>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lef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 </w:t>
            </w:r>
          </w:p>
        </w:tc>
        <w:tc>
          <w:tcPr>
            <w:tcW w:w="2882" w:type="dxa"/>
            <w:tcBorders>
              <w:top w:val="single" w:sz="4" w:space="0" w:color="auto"/>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lef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 </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lef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 </w:t>
            </w:r>
          </w:p>
        </w:tc>
      </w:tr>
      <w:tr w:rsidR="00E74A14" w:rsidRPr="00E74A14" w:rsidTr="00E74A14">
        <w:trPr>
          <w:trHeight w:val="302"/>
        </w:trPr>
        <w:tc>
          <w:tcPr>
            <w:tcW w:w="2064" w:type="dxa"/>
            <w:tcBorders>
              <w:top w:val="nil"/>
              <w:left w:val="single" w:sz="4" w:space="0" w:color="auto"/>
              <w:bottom w:val="single" w:sz="4" w:space="0" w:color="auto"/>
              <w:right w:val="single" w:sz="4" w:space="0" w:color="auto"/>
            </w:tcBorders>
            <w:shd w:val="clear" w:color="4F81BD" w:fill="4F81BD"/>
            <w:noWrap/>
            <w:vAlign w:val="bottom"/>
            <w:hideMark/>
          </w:tcPr>
          <w:p w:rsidR="00E74A14" w:rsidRPr="00E74A14" w:rsidRDefault="00E74A14" w:rsidP="00E74A14">
            <w:pPr>
              <w:autoSpaceDE/>
              <w:autoSpaceDN/>
              <w:adjustRightInd/>
              <w:spacing w:after="0"/>
              <w:jc w:val="left"/>
              <w:rPr>
                <w:rFonts w:ascii="Calibri" w:eastAsia="Times New Roman" w:hAnsi="Calibri" w:cs="Times New Roman"/>
                <w:b/>
                <w:bCs/>
                <w:color w:val="FFFFFF"/>
                <w:sz w:val="22"/>
                <w:szCs w:val="22"/>
                <w:lang w:eastAsia="en-GB"/>
              </w:rPr>
            </w:pPr>
            <w:r w:rsidRPr="00E74A14">
              <w:rPr>
                <w:rFonts w:ascii="Calibri" w:eastAsia="Times New Roman" w:hAnsi="Calibri" w:cs="Times New Roman"/>
                <w:b/>
                <w:bCs/>
                <w:color w:val="FFFFFF"/>
                <w:sz w:val="22"/>
                <w:szCs w:val="22"/>
                <w:lang w:eastAsia="en-GB"/>
              </w:rPr>
              <w:t>Area</w:t>
            </w:r>
          </w:p>
        </w:tc>
        <w:tc>
          <w:tcPr>
            <w:tcW w:w="1188" w:type="dxa"/>
            <w:tcBorders>
              <w:top w:val="nil"/>
              <w:left w:val="nil"/>
              <w:bottom w:val="single" w:sz="4" w:space="0" w:color="auto"/>
              <w:right w:val="single" w:sz="4" w:space="0" w:color="auto"/>
            </w:tcBorders>
            <w:shd w:val="clear" w:color="4F81BD" w:fill="4F81BD"/>
            <w:noWrap/>
            <w:vAlign w:val="bottom"/>
            <w:hideMark/>
          </w:tcPr>
          <w:p w:rsidR="00E74A14" w:rsidRPr="00E74A14" w:rsidRDefault="00E74A14" w:rsidP="00E74A14">
            <w:pPr>
              <w:autoSpaceDE/>
              <w:autoSpaceDN/>
              <w:adjustRightInd/>
              <w:spacing w:after="0"/>
              <w:jc w:val="left"/>
              <w:rPr>
                <w:rFonts w:ascii="Calibri" w:eastAsia="Times New Roman" w:hAnsi="Calibri" w:cs="Times New Roman"/>
                <w:b/>
                <w:bCs/>
                <w:color w:val="FFFFFF"/>
                <w:sz w:val="22"/>
                <w:szCs w:val="22"/>
                <w:lang w:eastAsia="en-GB"/>
              </w:rPr>
            </w:pPr>
            <w:r w:rsidRPr="00E74A14">
              <w:rPr>
                <w:rFonts w:ascii="Calibri" w:eastAsia="Times New Roman" w:hAnsi="Calibri" w:cs="Times New Roman"/>
                <w:b/>
                <w:bCs/>
                <w:color w:val="FFFFFF"/>
                <w:sz w:val="22"/>
                <w:szCs w:val="22"/>
                <w:lang w:eastAsia="en-GB"/>
              </w:rPr>
              <w:t>NHS Days</w:t>
            </w:r>
          </w:p>
        </w:tc>
        <w:tc>
          <w:tcPr>
            <w:tcW w:w="1850" w:type="dxa"/>
            <w:tcBorders>
              <w:top w:val="nil"/>
              <w:left w:val="nil"/>
              <w:bottom w:val="single" w:sz="4" w:space="0" w:color="auto"/>
              <w:right w:val="single" w:sz="4" w:space="0" w:color="auto"/>
            </w:tcBorders>
            <w:shd w:val="clear" w:color="4F81BD" w:fill="4F81BD"/>
            <w:noWrap/>
            <w:vAlign w:val="bottom"/>
            <w:hideMark/>
          </w:tcPr>
          <w:p w:rsidR="00E74A14" w:rsidRPr="00E74A14" w:rsidRDefault="00E74A14" w:rsidP="00E74A14">
            <w:pPr>
              <w:autoSpaceDE/>
              <w:autoSpaceDN/>
              <w:adjustRightInd/>
              <w:spacing w:after="0"/>
              <w:jc w:val="left"/>
              <w:rPr>
                <w:rFonts w:ascii="Calibri" w:eastAsia="Times New Roman" w:hAnsi="Calibri" w:cs="Times New Roman"/>
                <w:b/>
                <w:bCs/>
                <w:color w:val="FFFFFF"/>
                <w:sz w:val="22"/>
                <w:szCs w:val="22"/>
                <w:lang w:eastAsia="en-GB"/>
              </w:rPr>
            </w:pPr>
            <w:r w:rsidRPr="00E74A14">
              <w:rPr>
                <w:rFonts w:ascii="Calibri" w:eastAsia="Times New Roman" w:hAnsi="Calibri" w:cs="Times New Roman"/>
                <w:b/>
                <w:bCs/>
                <w:color w:val="FFFFFF"/>
                <w:sz w:val="22"/>
                <w:szCs w:val="22"/>
                <w:lang w:eastAsia="en-GB"/>
              </w:rPr>
              <w:t>Social Care Days</w:t>
            </w:r>
          </w:p>
        </w:tc>
        <w:tc>
          <w:tcPr>
            <w:tcW w:w="2882" w:type="dxa"/>
            <w:tcBorders>
              <w:top w:val="nil"/>
              <w:left w:val="nil"/>
              <w:bottom w:val="single" w:sz="4" w:space="0" w:color="auto"/>
              <w:right w:val="single" w:sz="4" w:space="0" w:color="auto"/>
            </w:tcBorders>
            <w:shd w:val="clear" w:color="4F81BD" w:fill="4F81BD"/>
            <w:noWrap/>
            <w:vAlign w:val="bottom"/>
            <w:hideMark/>
          </w:tcPr>
          <w:p w:rsidR="00E74A14" w:rsidRPr="00E74A14" w:rsidRDefault="00E74A14" w:rsidP="00E74A14">
            <w:pPr>
              <w:autoSpaceDE/>
              <w:autoSpaceDN/>
              <w:adjustRightInd/>
              <w:spacing w:after="0"/>
              <w:jc w:val="left"/>
              <w:rPr>
                <w:rFonts w:ascii="Calibri" w:eastAsia="Times New Roman" w:hAnsi="Calibri" w:cs="Times New Roman"/>
                <w:b/>
                <w:bCs/>
                <w:color w:val="FFFFFF"/>
                <w:sz w:val="22"/>
                <w:szCs w:val="22"/>
                <w:lang w:eastAsia="en-GB"/>
              </w:rPr>
            </w:pPr>
            <w:r w:rsidRPr="00E74A14">
              <w:rPr>
                <w:rFonts w:ascii="Calibri" w:eastAsia="Times New Roman" w:hAnsi="Calibri" w:cs="Times New Roman"/>
                <w:b/>
                <w:bCs/>
                <w:color w:val="FFFFFF"/>
                <w:sz w:val="22"/>
                <w:szCs w:val="22"/>
                <w:lang w:eastAsia="en-GB"/>
              </w:rPr>
              <w:t>NHS and Social Care Days</w:t>
            </w:r>
          </w:p>
        </w:tc>
        <w:tc>
          <w:tcPr>
            <w:tcW w:w="1196" w:type="dxa"/>
            <w:tcBorders>
              <w:top w:val="nil"/>
              <w:left w:val="nil"/>
              <w:bottom w:val="single" w:sz="4" w:space="0" w:color="auto"/>
              <w:right w:val="single" w:sz="4" w:space="0" w:color="auto"/>
            </w:tcBorders>
            <w:shd w:val="clear" w:color="4F81BD" w:fill="4F81BD"/>
            <w:noWrap/>
            <w:vAlign w:val="bottom"/>
            <w:hideMark/>
          </w:tcPr>
          <w:p w:rsidR="00E74A14" w:rsidRPr="00E74A14" w:rsidRDefault="00E74A14" w:rsidP="00E74A14">
            <w:pPr>
              <w:autoSpaceDE/>
              <w:autoSpaceDN/>
              <w:adjustRightInd/>
              <w:spacing w:after="0"/>
              <w:jc w:val="left"/>
              <w:rPr>
                <w:rFonts w:ascii="Calibri" w:eastAsia="Times New Roman" w:hAnsi="Calibri" w:cs="Times New Roman"/>
                <w:b/>
                <w:bCs/>
                <w:color w:val="FFFFFF"/>
                <w:sz w:val="22"/>
                <w:szCs w:val="22"/>
                <w:lang w:eastAsia="en-GB"/>
              </w:rPr>
            </w:pPr>
            <w:r w:rsidRPr="00E74A14">
              <w:rPr>
                <w:rFonts w:ascii="Calibri" w:eastAsia="Times New Roman" w:hAnsi="Calibri" w:cs="Times New Roman"/>
                <w:b/>
                <w:bCs/>
                <w:color w:val="FFFFFF"/>
                <w:sz w:val="22"/>
                <w:szCs w:val="22"/>
                <w:lang w:eastAsia="en-GB"/>
              </w:rPr>
              <w:t>Total Days</w:t>
            </w:r>
          </w:p>
        </w:tc>
      </w:tr>
      <w:tr w:rsidR="00E74A14" w:rsidRPr="00E74A14" w:rsidTr="00E74A14">
        <w:trPr>
          <w:trHeight w:val="302"/>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lef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Lancashire</w:t>
            </w:r>
          </w:p>
        </w:tc>
        <w:tc>
          <w:tcPr>
            <w:tcW w:w="1188"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48.7%</w:t>
            </w:r>
          </w:p>
        </w:tc>
        <w:tc>
          <w:tcPr>
            <w:tcW w:w="1850"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42.6%</w:t>
            </w:r>
          </w:p>
        </w:tc>
        <w:tc>
          <w:tcPr>
            <w:tcW w:w="2882"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8.7%</w:t>
            </w:r>
          </w:p>
        </w:tc>
        <w:tc>
          <w:tcPr>
            <w:tcW w:w="1196"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100.0%</w:t>
            </w:r>
          </w:p>
        </w:tc>
      </w:tr>
      <w:tr w:rsidR="00E74A14" w:rsidRPr="00E74A14" w:rsidTr="00E74A14">
        <w:trPr>
          <w:trHeight w:val="302"/>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lef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Comparator group</w:t>
            </w:r>
          </w:p>
        </w:tc>
        <w:tc>
          <w:tcPr>
            <w:tcW w:w="1188"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55.8%</w:t>
            </w:r>
          </w:p>
        </w:tc>
        <w:tc>
          <w:tcPr>
            <w:tcW w:w="1850"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33.3%</w:t>
            </w:r>
          </w:p>
        </w:tc>
        <w:tc>
          <w:tcPr>
            <w:tcW w:w="2882"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10.9%</w:t>
            </w:r>
          </w:p>
        </w:tc>
        <w:tc>
          <w:tcPr>
            <w:tcW w:w="1196"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100.0%</w:t>
            </w:r>
          </w:p>
        </w:tc>
      </w:tr>
      <w:tr w:rsidR="00E74A14" w:rsidRPr="00E74A14" w:rsidTr="00E74A14">
        <w:trPr>
          <w:trHeight w:val="302"/>
        </w:trPr>
        <w:tc>
          <w:tcPr>
            <w:tcW w:w="2064" w:type="dxa"/>
            <w:tcBorders>
              <w:top w:val="nil"/>
              <w:left w:val="single" w:sz="4" w:space="0" w:color="auto"/>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lef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All authorities</w:t>
            </w:r>
          </w:p>
        </w:tc>
        <w:tc>
          <w:tcPr>
            <w:tcW w:w="1188"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58.3%</w:t>
            </w:r>
          </w:p>
        </w:tc>
        <w:tc>
          <w:tcPr>
            <w:tcW w:w="1850"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34.0%</w:t>
            </w:r>
          </w:p>
        </w:tc>
        <w:tc>
          <w:tcPr>
            <w:tcW w:w="2882"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7.6%</w:t>
            </w:r>
          </w:p>
        </w:tc>
        <w:tc>
          <w:tcPr>
            <w:tcW w:w="1196" w:type="dxa"/>
            <w:tcBorders>
              <w:top w:val="nil"/>
              <w:left w:val="nil"/>
              <w:bottom w:val="single" w:sz="4" w:space="0" w:color="auto"/>
              <w:right w:val="single" w:sz="4" w:space="0" w:color="auto"/>
            </w:tcBorders>
            <w:shd w:val="clear" w:color="auto" w:fill="auto"/>
            <w:noWrap/>
            <w:vAlign w:val="bottom"/>
            <w:hideMark/>
          </w:tcPr>
          <w:p w:rsidR="00E74A14" w:rsidRPr="00E74A14" w:rsidRDefault="00E74A14" w:rsidP="00E74A14">
            <w:pPr>
              <w:autoSpaceDE/>
              <w:autoSpaceDN/>
              <w:adjustRightInd/>
              <w:spacing w:after="0"/>
              <w:jc w:val="right"/>
              <w:rPr>
                <w:rFonts w:ascii="Calibri" w:eastAsia="Times New Roman" w:hAnsi="Calibri" w:cs="Times New Roman"/>
                <w:sz w:val="22"/>
                <w:szCs w:val="22"/>
                <w:lang w:eastAsia="en-GB"/>
              </w:rPr>
            </w:pPr>
            <w:r w:rsidRPr="00E74A14">
              <w:rPr>
                <w:rFonts w:ascii="Calibri" w:eastAsia="Times New Roman" w:hAnsi="Calibri" w:cs="Times New Roman"/>
                <w:sz w:val="22"/>
                <w:szCs w:val="22"/>
                <w:lang w:eastAsia="en-GB"/>
              </w:rPr>
              <w:t>100.0%</w:t>
            </w:r>
          </w:p>
        </w:tc>
      </w:tr>
    </w:tbl>
    <w:p w:rsidR="00D17A5F" w:rsidRDefault="00E74A14" w:rsidP="00D17A5F">
      <w:pPr>
        <w:spacing w:before="120"/>
        <w:rPr>
          <w:rFonts w:cs="Arial"/>
        </w:rPr>
      </w:pPr>
      <w:r>
        <w:rPr>
          <w:rFonts w:cs="Arial"/>
        </w:rPr>
        <w:t>Nov</w:t>
      </w:r>
      <w:r w:rsidR="00D17A5F" w:rsidRPr="0028500E">
        <w:rPr>
          <w:rFonts w:cs="Arial"/>
        </w:rPr>
        <w:t xml:space="preserve">-17 shows a </w:t>
      </w:r>
      <w:r>
        <w:rPr>
          <w:rFonts w:cs="Arial"/>
        </w:rPr>
        <w:t>slight in</w:t>
      </w:r>
      <w:r w:rsidR="00D17A5F" w:rsidRPr="0028500E">
        <w:rPr>
          <w:rFonts w:cs="Arial"/>
        </w:rPr>
        <w:t>crease in delayed days attributable to social care</w:t>
      </w:r>
      <w:r>
        <w:rPr>
          <w:rFonts w:cs="Arial"/>
        </w:rPr>
        <w:t xml:space="preserve">, but the overall trend still shows </w:t>
      </w:r>
      <w:r w:rsidR="00CB6B5A">
        <w:rPr>
          <w:rFonts w:cs="Arial"/>
        </w:rPr>
        <w:t xml:space="preserve">a general </w:t>
      </w:r>
      <w:r>
        <w:rPr>
          <w:rFonts w:cs="Arial"/>
        </w:rPr>
        <w:t>improvement after the peak in Jul-17</w:t>
      </w:r>
      <w:r w:rsidR="00D17A5F" w:rsidRPr="0028500E">
        <w:rPr>
          <w:rFonts w:cs="Arial"/>
        </w:rPr>
        <w:t>.</w:t>
      </w:r>
    </w:p>
    <w:p w:rsidR="00E74A14" w:rsidRDefault="00E74A14" w:rsidP="00D17A5F">
      <w:pPr>
        <w:spacing w:before="120"/>
        <w:rPr>
          <w:rFonts w:cs="Arial"/>
        </w:rPr>
      </w:pPr>
      <w:r>
        <w:rPr>
          <w:noProof/>
          <w:lang w:eastAsia="en-GB"/>
        </w:rPr>
        <w:drawing>
          <wp:inline distT="0" distB="0" distL="0" distR="0" wp14:anchorId="044A1D4A" wp14:editId="32F133DF">
            <wp:extent cx="5727700" cy="3771900"/>
            <wp:effectExtent l="0" t="0" r="635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9281C" w:rsidRDefault="00D17A5F" w:rsidP="00281495">
      <w:pPr>
        <w:pStyle w:val="Heading1"/>
        <w:spacing w:before="0" w:after="0"/>
        <w:ind w:left="431" w:hanging="431"/>
        <w:jc w:val="left"/>
      </w:pPr>
      <w:bookmarkStart w:id="4" w:name="_Toc503454132"/>
      <w:r>
        <w:t>DToC Targets</w:t>
      </w:r>
      <w:bookmarkEnd w:id="4"/>
    </w:p>
    <w:p w:rsidR="0079281C" w:rsidRDefault="0079281C" w:rsidP="00281495">
      <w:pPr>
        <w:spacing w:after="0"/>
        <w:jc w:val="left"/>
        <w:rPr>
          <w:lang w:eastAsia="en-GB"/>
        </w:rPr>
      </w:pPr>
    </w:p>
    <w:p w:rsidR="00EF7837" w:rsidRDefault="00EF7837" w:rsidP="00EF7837">
      <w:pPr>
        <w:pStyle w:val="Heading2"/>
      </w:pPr>
      <w:bookmarkStart w:id="5" w:name="_Toc503454133"/>
      <w:r w:rsidRPr="000A09A6">
        <w:t>Better Care Fund</w:t>
      </w:r>
      <w:bookmarkEnd w:id="5"/>
    </w:p>
    <w:p w:rsidR="00EF7837" w:rsidRPr="000A09A6" w:rsidRDefault="00EF7837" w:rsidP="00EF7837">
      <w:pPr>
        <w:spacing w:after="160" w:line="259" w:lineRule="auto"/>
        <w:rPr>
          <w:rFonts w:cs="Arial"/>
        </w:rPr>
      </w:pPr>
      <w:r w:rsidRPr="000A09A6">
        <w:rPr>
          <w:rFonts w:cs="Arial"/>
        </w:rPr>
        <w:t xml:space="preserve">Lancashire agreed a Better Care Fund target reduction to 747.8 social care delayed days to be achieved by Nov-17. The </w:t>
      </w:r>
      <w:r w:rsidR="00CB6B5A">
        <w:rPr>
          <w:rFonts w:cs="Arial"/>
        </w:rPr>
        <w:t xml:space="preserve">Nov-17 figure of 1936 </w:t>
      </w:r>
      <w:r w:rsidR="00CB6B5A" w:rsidRPr="000A09A6">
        <w:rPr>
          <w:rFonts w:cs="Arial"/>
        </w:rPr>
        <w:t xml:space="preserve">social care </w:t>
      </w:r>
      <w:r w:rsidR="00CB6B5A">
        <w:rPr>
          <w:rFonts w:cs="Arial"/>
        </w:rPr>
        <w:t>days is worse than the Oct-17 total of 1872, but</w:t>
      </w:r>
      <w:r w:rsidRPr="000A09A6">
        <w:rPr>
          <w:rFonts w:cs="Arial"/>
        </w:rPr>
        <w:t xml:space="preserve"> is an improvement on the Sep-17 figure of 2218 days and the Aug-17 figure of 2306, </w:t>
      </w:r>
      <w:r w:rsidR="00CB6B5A">
        <w:rPr>
          <w:rFonts w:cs="Arial"/>
        </w:rPr>
        <w:t>and</w:t>
      </w:r>
      <w:r w:rsidRPr="000A09A6">
        <w:rPr>
          <w:rFonts w:cs="Arial"/>
        </w:rPr>
        <w:t xml:space="preserve"> still some distance from the target of 747.8 days. </w:t>
      </w:r>
    </w:p>
    <w:p w:rsidR="0079281C" w:rsidRPr="0079281C" w:rsidRDefault="0079281C" w:rsidP="00281495">
      <w:pPr>
        <w:spacing w:after="0"/>
        <w:jc w:val="left"/>
        <w:rPr>
          <w:lang w:eastAsia="en-GB"/>
        </w:rPr>
      </w:pPr>
    </w:p>
    <w:p w:rsidR="00FE75DA" w:rsidRPr="0065074E" w:rsidRDefault="00FE75DA" w:rsidP="00AE5C83">
      <w:pPr>
        <w:pStyle w:val="Heading2"/>
      </w:pPr>
      <w:bookmarkStart w:id="6" w:name="_Toc503454134"/>
      <w:r w:rsidRPr="0065074E">
        <w:t xml:space="preserve">DToC </w:t>
      </w:r>
      <w:r w:rsidR="00746FC5" w:rsidRPr="0065074E">
        <w:t>B</w:t>
      </w:r>
      <w:r w:rsidRPr="0065074E">
        <w:t xml:space="preserve">ed </w:t>
      </w:r>
      <w:r w:rsidR="00746FC5" w:rsidRPr="0065074E">
        <w:t>D</w:t>
      </w:r>
      <w:r w:rsidRPr="0065074E">
        <w:t>ays per 100,000 population aged 18+</w:t>
      </w:r>
      <w:bookmarkEnd w:id="6"/>
    </w:p>
    <w:p w:rsidR="00746FC5" w:rsidRPr="0065074E" w:rsidRDefault="00746FC5" w:rsidP="00FE75DA">
      <w:pPr>
        <w:spacing w:after="160" w:line="259" w:lineRule="auto"/>
        <w:rPr>
          <w:rFonts w:cs="Arial"/>
        </w:rPr>
      </w:pPr>
      <w:r w:rsidRPr="0065074E">
        <w:rPr>
          <w:rFonts w:cs="Arial"/>
        </w:rPr>
        <w:t>The DToC Bed Days figure is calculated by dividing the number of delayed days during the month by the number of calendar days in the month and then dividing by the population aged 18+ for each authority.</w:t>
      </w:r>
    </w:p>
    <w:p w:rsidR="00FE75DA" w:rsidRPr="0065074E" w:rsidRDefault="00FE75DA" w:rsidP="00FE75DA">
      <w:pPr>
        <w:spacing w:after="160" w:line="259" w:lineRule="auto"/>
        <w:rPr>
          <w:rFonts w:cs="Arial"/>
        </w:rPr>
      </w:pPr>
      <w:r w:rsidRPr="0065074E">
        <w:rPr>
          <w:rFonts w:cs="Arial"/>
        </w:rPr>
        <w:t xml:space="preserve">Government targets were announced for all CCGs and local authorities to be achieved by Sep-17 in an effort to help improve A&amp;E performance and reduce winter pressures. The overall Lancashire target for Sep-17 was set to a maximum of 8.8 DToC bed days per 100,000 population aged 18+ and the social care Lancashire target for Sep-17 a maximum of 2.6. </w:t>
      </w:r>
    </w:p>
    <w:p w:rsidR="00FE75DA" w:rsidRPr="0065074E" w:rsidRDefault="00FE75DA" w:rsidP="00FE75DA">
      <w:pPr>
        <w:spacing w:after="160" w:line="259" w:lineRule="auto"/>
        <w:rPr>
          <w:rFonts w:cs="Arial"/>
        </w:rPr>
      </w:pPr>
      <w:r w:rsidRPr="0065074E">
        <w:rPr>
          <w:rFonts w:cs="Arial"/>
        </w:rPr>
        <w:t xml:space="preserve">The </w:t>
      </w:r>
      <w:r w:rsidR="001F0E89" w:rsidRPr="0065074E">
        <w:rPr>
          <w:rFonts w:cs="Arial"/>
        </w:rPr>
        <w:t>Nov</w:t>
      </w:r>
      <w:r w:rsidRPr="0065074E">
        <w:rPr>
          <w:rFonts w:cs="Arial"/>
        </w:rPr>
        <w:t xml:space="preserve">-17 figures show Lancashire still missing both targets by some distance. The overall </w:t>
      </w:r>
      <w:r w:rsidR="001F0E89" w:rsidRPr="0065074E">
        <w:rPr>
          <w:rFonts w:cs="Arial"/>
        </w:rPr>
        <w:t>Nov</w:t>
      </w:r>
      <w:r w:rsidRPr="0065074E">
        <w:rPr>
          <w:rFonts w:cs="Arial"/>
        </w:rPr>
        <w:t xml:space="preserve">-17 Lancashire total of </w:t>
      </w:r>
      <w:r w:rsidR="001F0E89" w:rsidRPr="0065074E">
        <w:rPr>
          <w:rFonts w:cs="Arial"/>
        </w:rPr>
        <w:t>4547</w:t>
      </w:r>
      <w:r w:rsidRPr="0065074E">
        <w:rPr>
          <w:rFonts w:cs="Arial"/>
        </w:rPr>
        <w:t xml:space="preserve"> days equates to </w:t>
      </w:r>
      <w:r w:rsidR="0065074E" w:rsidRPr="0065074E">
        <w:rPr>
          <w:rFonts w:cs="Arial"/>
        </w:rPr>
        <w:t>15.9</w:t>
      </w:r>
      <w:r w:rsidRPr="0065074E">
        <w:rPr>
          <w:rFonts w:cs="Arial"/>
        </w:rPr>
        <w:t xml:space="preserve"> DToC bed days per 100,000 population aged 18+ </w:t>
      </w:r>
      <w:r w:rsidR="001F0E89" w:rsidRPr="0065074E">
        <w:rPr>
          <w:rFonts w:cs="Arial"/>
        </w:rPr>
        <w:t xml:space="preserve">(compared with 16.0 in Oct-17) </w:t>
      </w:r>
      <w:r w:rsidRPr="0065074E">
        <w:rPr>
          <w:rFonts w:cs="Arial"/>
        </w:rPr>
        <w:t xml:space="preserve">and the Lancashire </w:t>
      </w:r>
      <w:r w:rsidR="0065074E" w:rsidRPr="0065074E">
        <w:rPr>
          <w:rFonts w:cs="Arial"/>
        </w:rPr>
        <w:t>Nov</w:t>
      </w:r>
      <w:r w:rsidRPr="0065074E">
        <w:rPr>
          <w:rFonts w:cs="Arial"/>
        </w:rPr>
        <w:t xml:space="preserve">-17 social care figure of </w:t>
      </w:r>
      <w:r w:rsidR="0065074E" w:rsidRPr="0065074E">
        <w:rPr>
          <w:rFonts w:cs="Arial"/>
        </w:rPr>
        <w:t>1936</w:t>
      </w:r>
      <w:r w:rsidRPr="0065074E">
        <w:rPr>
          <w:rFonts w:cs="Arial"/>
        </w:rPr>
        <w:t xml:space="preserve"> days equates to 6.</w:t>
      </w:r>
      <w:r w:rsidR="0065074E" w:rsidRPr="0065074E">
        <w:rPr>
          <w:rFonts w:cs="Arial"/>
        </w:rPr>
        <w:t>8</w:t>
      </w:r>
      <w:r w:rsidRPr="0065074E">
        <w:rPr>
          <w:rFonts w:cs="Arial"/>
        </w:rPr>
        <w:t xml:space="preserve"> days per 100,000 population aged 18+</w:t>
      </w:r>
      <w:r w:rsidR="0065074E" w:rsidRPr="0065074E">
        <w:rPr>
          <w:rFonts w:cs="Arial"/>
        </w:rPr>
        <w:t xml:space="preserve"> (compared with 6.3 in Oct-17)</w:t>
      </w:r>
      <w:r w:rsidRPr="0065074E">
        <w:rPr>
          <w:rFonts w:cs="Arial"/>
        </w:rPr>
        <w:t>.</w:t>
      </w:r>
    </w:p>
    <w:p w:rsidR="00FE75DA" w:rsidRPr="0065074E" w:rsidRDefault="00FE75DA" w:rsidP="00FE75DA">
      <w:pPr>
        <w:spacing w:after="160" w:line="259" w:lineRule="auto"/>
        <w:rPr>
          <w:rFonts w:cs="Arial"/>
          <w:b/>
        </w:rPr>
      </w:pPr>
      <w:r w:rsidRPr="0065074E">
        <w:rPr>
          <w:rFonts w:cs="Arial"/>
        </w:rPr>
        <w:t>Out of 151 authorities Lancashire currently rank 124</w:t>
      </w:r>
      <w:r w:rsidRPr="0065074E">
        <w:rPr>
          <w:rFonts w:cs="Arial"/>
          <w:vertAlign w:val="superscript"/>
        </w:rPr>
        <w:t>th</w:t>
      </w:r>
      <w:r w:rsidRPr="0065074E">
        <w:rPr>
          <w:rFonts w:cs="Arial"/>
        </w:rPr>
        <w:t xml:space="preserve"> for total DToC bed days per 100,000 pop aged 18+ and </w:t>
      </w:r>
      <w:r w:rsidR="0065074E" w:rsidRPr="0065074E">
        <w:rPr>
          <w:rFonts w:cs="Arial"/>
        </w:rPr>
        <w:t>132</w:t>
      </w:r>
      <w:r w:rsidR="0065074E" w:rsidRPr="0065074E">
        <w:rPr>
          <w:rFonts w:cs="Arial"/>
          <w:vertAlign w:val="superscript"/>
        </w:rPr>
        <w:t>nd</w:t>
      </w:r>
      <w:r w:rsidR="0065074E" w:rsidRPr="0065074E">
        <w:rPr>
          <w:rFonts w:cs="Arial"/>
        </w:rPr>
        <w:t xml:space="preserve"> </w:t>
      </w:r>
      <w:r w:rsidRPr="0065074E">
        <w:rPr>
          <w:rFonts w:cs="Arial"/>
        </w:rPr>
        <w:t xml:space="preserve">for social care bed days.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11"/>
        <w:gridCol w:w="991"/>
        <w:gridCol w:w="1132"/>
        <w:gridCol w:w="1276"/>
        <w:gridCol w:w="800"/>
      </w:tblGrid>
      <w:tr w:rsidR="00FE75DA" w:rsidRPr="0065074E" w:rsidTr="00D20769">
        <w:trPr>
          <w:trHeight w:val="300"/>
        </w:trPr>
        <w:tc>
          <w:tcPr>
            <w:tcW w:w="2670" w:type="pct"/>
            <w:shd w:val="clear" w:color="auto" w:fill="D9D9D9" w:themeFill="background1" w:themeFillShade="D9"/>
            <w:noWrap/>
            <w:tcMar>
              <w:top w:w="0" w:type="dxa"/>
              <w:left w:w="108" w:type="dxa"/>
              <w:bottom w:w="0" w:type="dxa"/>
              <w:right w:w="108" w:type="dxa"/>
            </w:tcMar>
            <w:vAlign w:val="center"/>
            <w:hideMark/>
          </w:tcPr>
          <w:p w:rsidR="00FE75DA" w:rsidRPr="0065074E" w:rsidRDefault="00FE75DA" w:rsidP="0065074E">
            <w:pPr>
              <w:spacing w:after="0"/>
              <w:jc w:val="center"/>
              <w:rPr>
                <w:rFonts w:cs="Arial"/>
                <w:sz w:val="22"/>
                <w:szCs w:val="22"/>
                <w:lang w:eastAsia="en-GB"/>
              </w:rPr>
            </w:pPr>
            <w:r w:rsidRPr="0065074E">
              <w:rPr>
                <w:rFonts w:cs="Arial"/>
                <w:sz w:val="22"/>
                <w:szCs w:val="22"/>
                <w:lang w:eastAsia="en-GB"/>
              </w:rPr>
              <w:t>Measure</w:t>
            </w:r>
          </w:p>
        </w:tc>
        <w:tc>
          <w:tcPr>
            <w:tcW w:w="550" w:type="pct"/>
            <w:shd w:val="clear" w:color="auto" w:fill="D9D9D9"/>
            <w:noWrap/>
            <w:tcMar>
              <w:top w:w="0" w:type="dxa"/>
              <w:left w:w="108" w:type="dxa"/>
              <w:bottom w:w="0" w:type="dxa"/>
              <w:right w:w="108" w:type="dxa"/>
            </w:tcMar>
            <w:vAlign w:val="center"/>
            <w:hideMark/>
          </w:tcPr>
          <w:p w:rsidR="00FE75DA" w:rsidRPr="0065074E" w:rsidRDefault="00FE75DA" w:rsidP="0065074E">
            <w:pPr>
              <w:spacing w:after="0"/>
              <w:jc w:val="center"/>
              <w:rPr>
                <w:rFonts w:cs="Arial"/>
                <w:sz w:val="22"/>
                <w:szCs w:val="22"/>
                <w:lang w:eastAsia="en-GB"/>
              </w:rPr>
            </w:pPr>
            <w:r w:rsidRPr="0065074E">
              <w:rPr>
                <w:rFonts w:cs="Arial"/>
                <w:sz w:val="22"/>
                <w:szCs w:val="22"/>
                <w:lang w:eastAsia="en-GB"/>
              </w:rPr>
              <w:t>NHS Days</w:t>
            </w:r>
          </w:p>
        </w:tc>
        <w:tc>
          <w:tcPr>
            <w:tcW w:w="628" w:type="pct"/>
            <w:shd w:val="clear" w:color="auto" w:fill="D9D9D9"/>
            <w:noWrap/>
            <w:tcMar>
              <w:top w:w="0" w:type="dxa"/>
              <w:left w:w="108" w:type="dxa"/>
              <w:bottom w:w="0" w:type="dxa"/>
              <w:right w:w="108" w:type="dxa"/>
            </w:tcMar>
            <w:vAlign w:val="center"/>
            <w:hideMark/>
          </w:tcPr>
          <w:p w:rsidR="00FE75DA" w:rsidRPr="0065074E" w:rsidRDefault="00FE75DA" w:rsidP="0065074E">
            <w:pPr>
              <w:spacing w:after="0"/>
              <w:jc w:val="center"/>
              <w:rPr>
                <w:rFonts w:cs="Arial"/>
                <w:sz w:val="22"/>
                <w:szCs w:val="22"/>
                <w:lang w:eastAsia="en-GB"/>
              </w:rPr>
            </w:pPr>
            <w:r w:rsidRPr="0065074E">
              <w:rPr>
                <w:rFonts w:cs="Arial"/>
                <w:sz w:val="22"/>
                <w:szCs w:val="22"/>
                <w:lang w:eastAsia="en-GB"/>
              </w:rPr>
              <w:t>Social Care Days</w:t>
            </w:r>
          </w:p>
        </w:tc>
        <w:tc>
          <w:tcPr>
            <w:tcW w:w="708" w:type="pct"/>
            <w:shd w:val="clear" w:color="auto" w:fill="D9D9D9"/>
            <w:noWrap/>
            <w:tcMar>
              <w:top w:w="0" w:type="dxa"/>
              <w:left w:w="108" w:type="dxa"/>
              <w:bottom w:w="0" w:type="dxa"/>
              <w:right w:w="108" w:type="dxa"/>
            </w:tcMar>
            <w:vAlign w:val="center"/>
            <w:hideMark/>
          </w:tcPr>
          <w:p w:rsidR="00FE75DA" w:rsidRPr="0065074E" w:rsidRDefault="00FE75DA" w:rsidP="0065074E">
            <w:pPr>
              <w:spacing w:after="0"/>
              <w:jc w:val="center"/>
              <w:rPr>
                <w:rFonts w:cs="Arial"/>
                <w:sz w:val="22"/>
                <w:szCs w:val="22"/>
                <w:lang w:eastAsia="en-GB"/>
              </w:rPr>
            </w:pPr>
            <w:r w:rsidRPr="0065074E">
              <w:rPr>
                <w:rFonts w:cs="Arial"/>
                <w:sz w:val="22"/>
                <w:szCs w:val="22"/>
                <w:lang w:eastAsia="en-GB"/>
              </w:rPr>
              <w:t>NHS and Social Care Days</w:t>
            </w:r>
          </w:p>
        </w:tc>
        <w:tc>
          <w:tcPr>
            <w:tcW w:w="444" w:type="pct"/>
            <w:shd w:val="clear" w:color="auto" w:fill="D9D9D9"/>
            <w:noWrap/>
            <w:tcMar>
              <w:top w:w="0" w:type="dxa"/>
              <w:left w:w="108" w:type="dxa"/>
              <w:bottom w:w="0" w:type="dxa"/>
              <w:right w:w="108" w:type="dxa"/>
            </w:tcMar>
            <w:vAlign w:val="center"/>
            <w:hideMark/>
          </w:tcPr>
          <w:p w:rsidR="00FE75DA" w:rsidRPr="0065074E" w:rsidRDefault="00FE75DA" w:rsidP="0065074E">
            <w:pPr>
              <w:spacing w:after="0"/>
              <w:jc w:val="center"/>
              <w:rPr>
                <w:rFonts w:cs="Arial"/>
                <w:sz w:val="22"/>
                <w:szCs w:val="22"/>
                <w:lang w:eastAsia="en-GB"/>
              </w:rPr>
            </w:pPr>
            <w:r w:rsidRPr="0065074E">
              <w:rPr>
                <w:rFonts w:cs="Arial"/>
                <w:sz w:val="22"/>
                <w:szCs w:val="22"/>
                <w:lang w:eastAsia="en-GB"/>
              </w:rPr>
              <w:t>Total Days</w:t>
            </w:r>
          </w:p>
        </w:tc>
      </w:tr>
      <w:tr w:rsidR="00FE75DA" w:rsidRPr="0065074E" w:rsidTr="001F0E89">
        <w:trPr>
          <w:trHeight w:val="397"/>
        </w:trPr>
        <w:tc>
          <w:tcPr>
            <w:tcW w:w="2670" w:type="pct"/>
            <w:noWrap/>
            <w:tcMar>
              <w:top w:w="0" w:type="dxa"/>
              <w:left w:w="108" w:type="dxa"/>
              <w:bottom w:w="0" w:type="dxa"/>
              <w:right w:w="108" w:type="dxa"/>
            </w:tcMar>
            <w:vAlign w:val="center"/>
          </w:tcPr>
          <w:p w:rsidR="00FE75DA" w:rsidRPr="0065074E" w:rsidRDefault="00FE75DA" w:rsidP="0065074E">
            <w:pPr>
              <w:spacing w:after="0"/>
              <w:jc w:val="left"/>
              <w:rPr>
                <w:rFonts w:cs="Arial"/>
                <w:sz w:val="22"/>
                <w:szCs w:val="22"/>
                <w:lang w:eastAsia="en-GB"/>
              </w:rPr>
            </w:pPr>
            <w:r w:rsidRPr="0065074E">
              <w:rPr>
                <w:rFonts w:cs="Arial"/>
                <w:sz w:val="22"/>
                <w:szCs w:val="22"/>
                <w:lang w:eastAsia="en-GB"/>
              </w:rPr>
              <w:t>Target Sep-17 DToC Bed Days per 100,000 18+ pop</w:t>
            </w:r>
          </w:p>
        </w:tc>
        <w:tc>
          <w:tcPr>
            <w:tcW w:w="550" w:type="pct"/>
            <w:shd w:val="clear" w:color="auto" w:fill="auto"/>
            <w:noWrap/>
            <w:tcMar>
              <w:top w:w="0" w:type="dxa"/>
              <w:left w:w="108" w:type="dxa"/>
              <w:bottom w:w="0" w:type="dxa"/>
              <w:right w:w="108" w:type="dxa"/>
            </w:tcMar>
            <w:vAlign w:val="center"/>
          </w:tcPr>
          <w:p w:rsidR="00FE75DA" w:rsidRPr="0065074E" w:rsidRDefault="00FE75DA" w:rsidP="0065074E">
            <w:pPr>
              <w:spacing w:after="0"/>
              <w:jc w:val="center"/>
              <w:rPr>
                <w:rFonts w:cs="Arial"/>
                <w:sz w:val="22"/>
                <w:szCs w:val="22"/>
                <w:lang w:eastAsia="en-GB"/>
              </w:rPr>
            </w:pPr>
            <w:r w:rsidRPr="0065074E">
              <w:rPr>
                <w:rFonts w:cs="Arial"/>
                <w:sz w:val="22"/>
                <w:szCs w:val="22"/>
                <w:lang w:eastAsia="en-GB"/>
              </w:rPr>
              <w:t>5.5</w:t>
            </w:r>
          </w:p>
        </w:tc>
        <w:tc>
          <w:tcPr>
            <w:tcW w:w="628" w:type="pct"/>
            <w:shd w:val="clear" w:color="auto" w:fill="auto"/>
            <w:noWrap/>
            <w:tcMar>
              <w:top w:w="0" w:type="dxa"/>
              <w:left w:w="108" w:type="dxa"/>
              <w:bottom w:w="0" w:type="dxa"/>
              <w:right w:w="108" w:type="dxa"/>
            </w:tcMar>
            <w:vAlign w:val="center"/>
          </w:tcPr>
          <w:p w:rsidR="00FE75DA" w:rsidRPr="0065074E" w:rsidRDefault="00FE75DA" w:rsidP="0065074E">
            <w:pPr>
              <w:spacing w:after="0"/>
              <w:jc w:val="center"/>
              <w:rPr>
                <w:rFonts w:cs="Arial"/>
                <w:sz w:val="22"/>
                <w:szCs w:val="22"/>
                <w:lang w:eastAsia="en-GB"/>
              </w:rPr>
            </w:pPr>
            <w:r w:rsidRPr="0065074E">
              <w:rPr>
                <w:rFonts w:cs="Arial"/>
                <w:sz w:val="22"/>
                <w:szCs w:val="22"/>
                <w:lang w:eastAsia="en-GB"/>
              </w:rPr>
              <w:t>2.6</w:t>
            </w:r>
          </w:p>
        </w:tc>
        <w:tc>
          <w:tcPr>
            <w:tcW w:w="708" w:type="pct"/>
            <w:shd w:val="clear" w:color="auto" w:fill="auto"/>
            <w:noWrap/>
            <w:tcMar>
              <w:top w:w="0" w:type="dxa"/>
              <w:left w:w="108" w:type="dxa"/>
              <w:bottom w:w="0" w:type="dxa"/>
              <w:right w:w="108" w:type="dxa"/>
            </w:tcMar>
            <w:vAlign w:val="center"/>
          </w:tcPr>
          <w:p w:rsidR="00FE75DA" w:rsidRPr="0065074E" w:rsidRDefault="00FE75DA" w:rsidP="0065074E">
            <w:pPr>
              <w:spacing w:after="0"/>
              <w:jc w:val="center"/>
              <w:rPr>
                <w:rFonts w:cs="Arial"/>
                <w:sz w:val="22"/>
                <w:szCs w:val="22"/>
                <w:lang w:eastAsia="en-GB"/>
              </w:rPr>
            </w:pPr>
            <w:r w:rsidRPr="0065074E">
              <w:rPr>
                <w:rFonts w:cs="Arial"/>
                <w:sz w:val="22"/>
                <w:szCs w:val="22"/>
                <w:lang w:eastAsia="en-GB"/>
              </w:rPr>
              <w:t>0.7</w:t>
            </w:r>
          </w:p>
        </w:tc>
        <w:tc>
          <w:tcPr>
            <w:tcW w:w="444" w:type="pct"/>
            <w:shd w:val="clear" w:color="auto" w:fill="auto"/>
            <w:noWrap/>
            <w:tcMar>
              <w:top w:w="0" w:type="dxa"/>
              <w:left w:w="108" w:type="dxa"/>
              <w:bottom w:w="0" w:type="dxa"/>
              <w:right w:w="108" w:type="dxa"/>
            </w:tcMar>
            <w:vAlign w:val="center"/>
          </w:tcPr>
          <w:p w:rsidR="00FE75DA" w:rsidRPr="0065074E" w:rsidRDefault="00FE75DA" w:rsidP="0065074E">
            <w:pPr>
              <w:spacing w:after="0"/>
              <w:jc w:val="center"/>
              <w:rPr>
                <w:rFonts w:cs="Arial"/>
                <w:sz w:val="22"/>
                <w:szCs w:val="22"/>
                <w:lang w:eastAsia="en-GB"/>
              </w:rPr>
            </w:pPr>
            <w:r w:rsidRPr="0065074E">
              <w:rPr>
                <w:rFonts w:cs="Arial"/>
                <w:sz w:val="22"/>
                <w:szCs w:val="22"/>
                <w:lang w:eastAsia="en-GB"/>
              </w:rPr>
              <w:t>8.8</w:t>
            </w:r>
          </w:p>
        </w:tc>
      </w:tr>
      <w:tr w:rsidR="001F0E89" w:rsidRPr="0065074E" w:rsidTr="001F0E89">
        <w:trPr>
          <w:trHeight w:val="397"/>
        </w:trPr>
        <w:tc>
          <w:tcPr>
            <w:tcW w:w="2670" w:type="pct"/>
            <w:noWrap/>
            <w:tcMar>
              <w:top w:w="0" w:type="dxa"/>
              <w:left w:w="108" w:type="dxa"/>
              <w:bottom w:w="0" w:type="dxa"/>
              <w:right w:w="108" w:type="dxa"/>
            </w:tcMar>
            <w:vAlign w:val="center"/>
          </w:tcPr>
          <w:p w:rsidR="001F0E89" w:rsidRPr="0065074E" w:rsidRDefault="001F0E89" w:rsidP="0065074E">
            <w:pPr>
              <w:spacing w:after="0"/>
              <w:jc w:val="left"/>
              <w:rPr>
                <w:rFonts w:cs="Arial"/>
                <w:sz w:val="22"/>
                <w:szCs w:val="22"/>
                <w:lang w:eastAsia="en-GB"/>
              </w:rPr>
            </w:pPr>
            <w:r w:rsidRPr="0065074E">
              <w:rPr>
                <w:rFonts w:cs="Arial"/>
                <w:sz w:val="22"/>
                <w:szCs w:val="22"/>
                <w:lang w:eastAsia="en-GB"/>
              </w:rPr>
              <w:t>Actual Nov-17 Number of DToC Days</w:t>
            </w:r>
          </w:p>
        </w:tc>
        <w:tc>
          <w:tcPr>
            <w:tcW w:w="550" w:type="pct"/>
            <w:shd w:val="clear" w:color="auto" w:fill="auto"/>
            <w:noWrap/>
            <w:tcMar>
              <w:top w:w="0" w:type="dxa"/>
              <w:left w:w="108" w:type="dxa"/>
              <w:bottom w:w="0" w:type="dxa"/>
              <w:right w:w="108" w:type="dxa"/>
            </w:tcMar>
            <w:vAlign w:val="center"/>
          </w:tcPr>
          <w:p w:rsidR="001F0E89" w:rsidRPr="0065074E" w:rsidRDefault="001F0E89" w:rsidP="0065074E">
            <w:pPr>
              <w:autoSpaceDE/>
              <w:autoSpaceDN/>
              <w:adjustRightInd/>
              <w:spacing w:after="0"/>
              <w:jc w:val="center"/>
              <w:rPr>
                <w:rFonts w:eastAsia="Times New Roman" w:cs="Arial"/>
                <w:sz w:val="22"/>
                <w:szCs w:val="22"/>
                <w:lang w:eastAsia="en-GB"/>
              </w:rPr>
            </w:pPr>
            <w:r w:rsidRPr="0065074E">
              <w:rPr>
                <w:rFonts w:cs="Arial"/>
                <w:sz w:val="22"/>
                <w:szCs w:val="22"/>
              </w:rPr>
              <w:t>2216</w:t>
            </w:r>
          </w:p>
        </w:tc>
        <w:tc>
          <w:tcPr>
            <w:tcW w:w="628" w:type="pct"/>
            <w:shd w:val="clear" w:color="auto" w:fill="auto"/>
            <w:noWrap/>
            <w:tcMar>
              <w:top w:w="0" w:type="dxa"/>
              <w:left w:w="108" w:type="dxa"/>
              <w:bottom w:w="0" w:type="dxa"/>
              <w:right w:w="108" w:type="dxa"/>
            </w:tcMar>
            <w:vAlign w:val="center"/>
          </w:tcPr>
          <w:p w:rsidR="001F0E89" w:rsidRPr="0065074E" w:rsidRDefault="001F0E89" w:rsidP="0065074E">
            <w:pPr>
              <w:spacing w:after="0"/>
              <w:jc w:val="center"/>
              <w:rPr>
                <w:rFonts w:cs="Arial"/>
                <w:sz w:val="22"/>
                <w:szCs w:val="22"/>
              </w:rPr>
            </w:pPr>
            <w:r w:rsidRPr="0065074E">
              <w:rPr>
                <w:rFonts w:cs="Arial"/>
                <w:sz w:val="22"/>
                <w:szCs w:val="22"/>
              </w:rPr>
              <w:t>1936</w:t>
            </w:r>
          </w:p>
        </w:tc>
        <w:tc>
          <w:tcPr>
            <w:tcW w:w="708" w:type="pct"/>
            <w:shd w:val="clear" w:color="auto" w:fill="auto"/>
            <w:noWrap/>
            <w:tcMar>
              <w:top w:w="0" w:type="dxa"/>
              <w:left w:w="108" w:type="dxa"/>
              <w:bottom w:w="0" w:type="dxa"/>
              <w:right w:w="108" w:type="dxa"/>
            </w:tcMar>
            <w:vAlign w:val="center"/>
          </w:tcPr>
          <w:p w:rsidR="001F0E89" w:rsidRPr="0065074E" w:rsidRDefault="001F0E89" w:rsidP="0065074E">
            <w:pPr>
              <w:spacing w:after="0"/>
              <w:jc w:val="center"/>
              <w:rPr>
                <w:rFonts w:cs="Arial"/>
                <w:sz w:val="22"/>
                <w:szCs w:val="22"/>
              </w:rPr>
            </w:pPr>
            <w:r w:rsidRPr="0065074E">
              <w:rPr>
                <w:rFonts w:cs="Arial"/>
                <w:sz w:val="22"/>
                <w:szCs w:val="22"/>
              </w:rPr>
              <w:t>395</w:t>
            </w:r>
          </w:p>
        </w:tc>
        <w:tc>
          <w:tcPr>
            <w:tcW w:w="444" w:type="pct"/>
            <w:shd w:val="clear" w:color="auto" w:fill="auto"/>
            <w:noWrap/>
            <w:tcMar>
              <w:top w:w="0" w:type="dxa"/>
              <w:left w:w="108" w:type="dxa"/>
              <w:bottom w:w="0" w:type="dxa"/>
              <w:right w:w="108" w:type="dxa"/>
            </w:tcMar>
            <w:vAlign w:val="center"/>
          </w:tcPr>
          <w:p w:rsidR="001F0E89" w:rsidRPr="0065074E" w:rsidRDefault="001F0E89" w:rsidP="0065074E">
            <w:pPr>
              <w:spacing w:after="0"/>
              <w:jc w:val="center"/>
              <w:rPr>
                <w:rFonts w:cs="Arial"/>
                <w:sz w:val="22"/>
                <w:szCs w:val="22"/>
              </w:rPr>
            </w:pPr>
            <w:r w:rsidRPr="0065074E">
              <w:rPr>
                <w:rFonts w:cs="Arial"/>
                <w:sz w:val="22"/>
                <w:szCs w:val="22"/>
              </w:rPr>
              <w:t>4547</w:t>
            </w:r>
          </w:p>
        </w:tc>
      </w:tr>
      <w:tr w:rsidR="001F0E89" w:rsidRPr="0065074E" w:rsidTr="001F0E89">
        <w:trPr>
          <w:trHeight w:val="397"/>
        </w:trPr>
        <w:tc>
          <w:tcPr>
            <w:tcW w:w="2670" w:type="pct"/>
            <w:noWrap/>
            <w:tcMar>
              <w:top w:w="0" w:type="dxa"/>
              <w:left w:w="108" w:type="dxa"/>
              <w:bottom w:w="0" w:type="dxa"/>
              <w:right w:w="108" w:type="dxa"/>
            </w:tcMar>
            <w:vAlign w:val="center"/>
          </w:tcPr>
          <w:p w:rsidR="001F0E89" w:rsidRPr="0065074E" w:rsidRDefault="001F0E89" w:rsidP="0065074E">
            <w:pPr>
              <w:spacing w:after="0"/>
              <w:jc w:val="left"/>
              <w:rPr>
                <w:rFonts w:cs="Arial"/>
                <w:sz w:val="22"/>
                <w:szCs w:val="22"/>
                <w:lang w:eastAsia="en-GB"/>
              </w:rPr>
            </w:pPr>
            <w:r w:rsidRPr="0065074E">
              <w:rPr>
                <w:rFonts w:cs="Arial"/>
                <w:sz w:val="22"/>
                <w:szCs w:val="22"/>
                <w:lang w:eastAsia="en-GB"/>
              </w:rPr>
              <w:t>Actual Nov-17 DToC Bed Days per 100,000 18+ pop</w:t>
            </w:r>
          </w:p>
        </w:tc>
        <w:tc>
          <w:tcPr>
            <w:tcW w:w="550" w:type="pct"/>
            <w:shd w:val="clear" w:color="auto" w:fill="auto"/>
            <w:noWrap/>
            <w:tcMar>
              <w:top w:w="0" w:type="dxa"/>
              <w:left w:w="108" w:type="dxa"/>
              <w:bottom w:w="0" w:type="dxa"/>
              <w:right w:w="108" w:type="dxa"/>
            </w:tcMar>
            <w:vAlign w:val="center"/>
          </w:tcPr>
          <w:p w:rsidR="001F0E89" w:rsidRPr="0065074E" w:rsidRDefault="001F0E89" w:rsidP="0065074E">
            <w:pPr>
              <w:autoSpaceDE/>
              <w:autoSpaceDN/>
              <w:adjustRightInd/>
              <w:spacing w:after="0"/>
              <w:jc w:val="center"/>
              <w:rPr>
                <w:rFonts w:eastAsia="Times New Roman" w:cs="Arial"/>
                <w:sz w:val="22"/>
                <w:szCs w:val="22"/>
                <w:lang w:eastAsia="en-GB"/>
              </w:rPr>
            </w:pPr>
            <w:r w:rsidRPr="0065074E">
              <w:rPr>
                <w:rFonts w:cs="Arial"/>
                <w:sz w:val="22"/>
                <w:szCs w:val="22"/>
              </w:rPr>
              <w:t>7.8</w:t>
            </w:r>
          </w:p>
        </w:tc>
        <w:tc>
          <w:tcPr>
            <w:tcW w:w="628" w:type="pct"/>
            <w:shd w:val="clear" w:color="auto" w:fill="auto"/>
            <w:noWrap/>
            <w:tcMar>
              <w:top w:w="0" w:type="dxa"/>
              <w:left w:w="108" w:type="dxa"/>
              <w:bottom w:w="0" w:type="dxa"/>
              <w:right w:w="108" w:type="dxa"/>
            </w:tcMar>
            <w:vAlign w:val="center"/>
          </w:tcPr>
          <w:p w:rsidR="001F0E89" w:rsidRPr="0065074E" w:rsidRDefault="001F0E89" w:rsidP="0065074E">
            <w:pPr>
              <w:spacing w:after="0"/>
              <w:jc w:val="center"/>
              <w:rPr>
                <w:rFonts w:cs="Arial"/>
                <w:sz w:val="22"/>
                <w:szCs w:val="22"/>
              </w:rPr>
            </w:pPr>
            <w:r w:rsidRPr="0065074E">
              <w:rPr>
                <w:rFonts w:cs="Arial"/>
                <w:sz w:val="22"/>
                <w:szCs w:val="22"/>
              </w:rPr>
              <w:t>6.8</w:t>
            </w:r>
          </w:p>
        </w:tc>
        <w:tc>
          <w:tcPr>
            <w:tcW w:w="708" w:type="pct"/>
            <w:shd w:val="clear" w:color="auto" w:fill="auto"/>
            <w:noWrap/>
            <w:tcMar>
              <w:top w:w="0" w:type="dxa"/>
              <w:left w:w="108" w:type="dxa"/>
              <w:bottom w:w="0" w:type="dxa"/>
              <w:right w:w="108" w:type="dxa"/>
            </w:tcMar>
            <w:vAlign w:val="center"/>
          </w:tcPr>
          <w:p w:rsidR="001F0E89" w:rsidRPr="0065074E" w:rsidRDefault="001F0E89" w:rsidP="0065074E">
            <w:pPr>
              <w:spacing w:after="0"/>
              <w:jc w:val="center"/>
              <w:rPr>
                <w:rFonts w:cs="Arial"/>
                <w:sz w:val="22"/>
                <w:szCs w:val="22"/>
              </w:rPr>
            </w:pPr>
            <w:r w:rsidRPr="0065074E">
              <w:rPr>
                <w:rFonts w:cs="Arial"/>
                <w:sz w:val="22"/>
                <w:szCs w:val="22"/>
              </w:rPr>
              <w:t>1.4</w:t>
            </w:r>
          </w:p>
        </w:tc>
        <w:tc>
          <w:tcPr>
            <w:tcW w:w="444" w:type="pct"/>
            <w:shd w:val="clear" w:color="auto" w:fill="auto"/>
            <w:noWrap/>
            <w:tcMar>
              <w:top w:w="0" w:type="dxa"/>
              <w:left w:w="108" w:type="dxa"/>
              <w:bottom w:w="0" w:type="dxa"/>
              <w:right w:w="108" w:type="dxa"/>
            </w:tcMar>
            <w:vAlign w:val="center"/>
          </w:tcPr>
          <w:p w:rsidR="001F0E89" w:rsidRPr="0065074E" w:rsidRDefault="001F0E89" w:rsidP="0065074E">
            <w:pPr>
              <w:spacing w:after="0"/>
              <w:jc w:val="center"/>
              <w:rPr>
                <w:rFonts w:cs="Arial"/>
                <w:sz w:val="22"/>
                <w:szCs w:val="22"/>
              </w:rPr>
            </w:pPr>
            <w:r w:rsidRPr="0065074E">
              <w:rPr>
                <w:rFonts w:cs="Arial"/>
                <w:sz w:val="22"/>
                <w:szCs w:val="22"/>
              </w:rPr>
              <w:t>15.9</w:t>
            </w:r>
          </w:p>
        </w:tc>
      </w:tr>
      <w:tr w:rsidR="001F0E89" w:rsidRPr="0065074E" w:rsidTr="001F0E89">
        <w:trPr>
          <w:trHeight w:val="397"/>
        </w:trPr>
        <w:tc>
          <w:tcPr>
            <w:tcW w:w="2670" w:type="pct"/>
            <w:noWrap/>
            <w:tcMar>
              <w:top w:w="0" w:type="dxa"/>
              <w:left w:w="108" w:type="dxa"/>
              <w:bottom w:w="0" w:type="dxa"/>
              <w:right w:w="108" w:type="dxa"/>
            </w:tcMar>
            <w:vAlign w:val="center"/>
            <w:hideMark/>
          </w:tcPr>
          <w:p w:rsidR="001F0E89" w:rsidRPr="0065074E" w:rsidRDefault="001F0E89" w:rsidP="0065074E">
            <w:pPr>
              <w:spacing w:after="0"/>
              <w:jc w:val="left"/>
              <w:rPr>
                <w:rFonts w:cs="Arial"/>
                <w:sz w:val="22"/>
                <w:szCs w:val="22"/>
                <w:lang w:eastAsia="en-GB"/>
              </w:rPr>
            </w:pPr>
            <w:r w:rsidRPr="0065074E">
              <w:rPr>
                <w:rFonts w:cs="Arial"/>
                <w:sz w:val="22"/>
                <w:szCs w:val="22"/>
                <w:lang w:eastAsia="en-GB"/>
              </w:rPr>
              <w:t>Rank Nov-17 DToC Bed Days per 100,000 18+ pop</w:t>
            </w:r>
          </w:p>
        </w:tc>
        <w:tc>
          <w:tcPr>
            <w:tcW w:w="550" w:type="pct"/>
            <w:tcBorders>
              <w:top w:val="single" w:sz="4" w:space="0" w:color="auto"/>
              <w:left w:val="single" w:sz="4" w:space="0" w:color="auto"/>
              <w:bottom w:val="single" w:sz="4" w:space="0" w:color="auto"/>
              <w:right w:val="single" w:sz="4" w:space="0" w:color="auto"/>
            </w:tcBorders>
            <w:shd w:val="clear" w:color="000000" w:fill="FDB67A"/>
            <w:noWrap/>
            <w:tcMar>
              <w:top w:w="0" w:type="dxa"/>
              <w:left w:w="108" w:type="dxa"/>
              <w:bottom w:w="0" w:type="dxa"/>
              <w:right w:w="108" w:type="dxa"/>
            </w:tcMar>
            <w:vAlign w:val="center"/>
            <w:hideMark/>
          </w:tcPr>
          <w:p w:rsidR="001F0E89" w:rsidRPr="0065074E" w:rsidRDefault="001F0E89" w:rsidP="0065074E">
            <w:pPr>
              <w:autoSpaceDE/>
              <w:autoSpaceDN/>
              <w:adjustRightInd/>
              <w:spacing w:after="0"/>
              <w:jc w:val="center"/>
              <w:rPr>
                <w:rFonts w:eastAsia="Times New Roman" w:cs="Arial"/>
                <w:sz w:val="22"/>
                <w:szCs w:val="22"/>
                <w:lang w:eastAsia="en-GB"/>
              </w:rPr>
            </w:pPr>
            <w:r w:rsidRPr="0065074E">
              <w:rPr>
                <w:rFonts w:cs="Arial"/>
                <w:sz w:val="22"/>
                <w:szCs w:val="22"/>
              </w:rPr>
              <w:t>107</w:t>
            </w:r>
          </w:p>
        </w:tc>
        <w:tc>
          <w:tcPr>
            <w:tcW w:w="628" w:type="pct"/>
            <w:tcBorders>
              <w:top w:val="single" w:sz="4" w:space="0" w:color="auto"/>
              <w:left w:val="single" w:sz="4" w:space="0" w:color="auto"/>
              <w:bottom w:val="single" w:sz="4" w:space="0" w:color="auto"/>
              <w:right w:val="single" w:sz="4" w:space="0" w:color="auto"/>
            </w:tcBorders>
            <w:shd w:val="clear" w:color="000000" w:fill="FA8A72"/>
            <w:noWrap/>
            <w:tcMar>
              <w:top w:w="0" w:type="dxa"/>
              <w:left w:w="108" w:type="dxa"/>
              <w:bottom w:w="0" w:type="dxa"/>
              <w:right w:w="108" w:type="dxa"/>
            </w:tcMar>
            <w:vAlign w:val="center"/>
            <w:hideMark/>
          </w:tcPr>
          <w:p w:rsidR="001F0E89" w:rsidRPr="0065074E" w:rsidRDefault="001F0E89" w:rsidP="0065074E">
            <w:pPr>
              <w:spacing w:after="0"/>
              <w:jc w:val="center"/>
              <w:rPr>
                <w:rFonts w:cs="Arial"/>
                <w:sz w:val="22"/>
                <w:szCs w:val="22"/>
              </w:rPr>
            </w:pPr>
            <w:r w:rsidRPr="0065074E">
              <w:rPr>
                <w:rFonts w:cs="Arial"/>
                <w:sz w:val="22"/>
                <w:szCs w:val="22"/>
              </w:rPr>
              <w:t>132</w:t>
            </w:r>
          </w:p>
        </w:tc>
        <w:tc>
          <w:tcPr>
            <w:tcW w:w="708" w:type="pct"/>
            <w:tcBorders>
              <w:top w:val="single" w:sz="4" w:space="0" w:color="auto"/>
              <w:left w:val="single" w:sz="4" w:space="0" w:color="auto"/>
              <w:bottom w:val="single" w:sz="4" w:space="0" w:color="auto"/>
              <w:right w:val="single" w:sz="4" w:space="0" w:color="auto"/>
            </w:tcBorders>
            <w:shd w:val="clear" w:color="000000" w:fill="FB9A75"/>
            <w:noWrap/>
            <w:tcMar>
              <w:top w:w="0" w:type="dxa"/>
              <w:left w:w="108" w:type="dxa"/>
              <w:bottom w:w="0" w:type="dxa"/>
              <w:right w:w="108" w:type="dxa"/>
            </w:tcMar>
            <w:vAlign w:val="center"/>
            <w:hideMark/>
          </w:tcPr>
          <w:p w:rsidR="001F0E89" w:rsidRPr="0065074E" w:rsidRDefault="001F0E89" w:rsidP="0065074E">
            <w:pPr>
              <w:spacing w:after="0"/>
              <w:jc w:val="center"/>
              <w:rPr>
                <w:rFonts w:cs="Arial"/>
                <w:sz w:val="22"/>
                <w:szCs w:val="22"/>
              </w:rPr>
            </w:pPr>
            <w:r w:rsidRPr="0065074E">
              <w:rPr>
                <w:rFonts w:cs="Arial"/>
                <w:sz w:val="22"/>
                <w:szCs w:val="22"/>
              </w:rPr>
              <w:t>123</w:t>
            </w:r>
          </w:p>
        </w:tc>
        <w:tc>
          <w:tcPr>
            <w:tcW w:w="444" w:type="pct"/>
            <w:tcBorders>
              <w:top w:val="single" w:sz="4" w:space="0" w:color="auto"/>
              <w:left w:val="single" w:sz="4" w:space="0" w:color="auto"/>
              <w:bottom w:val="single" w:sz="4" w:space="0" w:color="auto"/>
              <w:right w:val="single" w:sz="4" w:space="0" w:color="auto"/>
            </w:tcBorders>
            <w:shd w:val="clear" w:color="000000" w:fill="FB9874"/>
            <w:noWrap/>
            <w:tcMar>
              <w:top w:w="0" w:type="dxa"/>
              <w:left w:w="108" w:type="dxa"/>
              <w:bottom w:w="0" w:type="dxa"/>
              <w:right w:w="108" w:type="dxa"/>
            </w:tcMar>
            <w:vAlign w:val="center"/>
            <w:hideMark/>
          </w:tcPr>
          <w:p w:rsidR="001F0E89" w:rsidRPr="0065074E" w:rsidRDefault="001F0E89" w:rsidP="0065074E">
            <w:pPr>
              <w:spacing w:after="0"/>
              <w:jc w:val="center"/>
              <w:rPr>
                <w:rFonts w:cs="Arial"/>
                <w:sz w:val="22"/>
                <w:szCs w:val="22"/>
              </w:rPr>
            </w:pPr>
            <w:r w:rsidRPr="0065074E">
              <w:rPr>
                <w:rFonts w:cs="Arial"/>
                <w:sz w:val="22"/>
                <w:szCs w:val="22"/>
              </w:rPr>
              <w:t>124</w:t>
            </w:r>
          </w:p>
        </w:tc>
      </w:tr>
    </w:tbl>
    <w:p w:rsidR="002971C1" w:rsidRPr="009837A1" w:rsidRDefault="00FE75DA" w:rsidP="009837A1">
      <w:pPr>
        <w:spacing w:before="120" w:line="259" w:lineRule="auto"/>
        <w:rPr>
          <w:rFonts w:cs="Arial"/>
        </w:rPr>
      </w:pPr>
      <w:r w:rsidRPr="0065074E">
        <w:rPr>
          <w:rFonts w:cs="Arial"/>
        </w:rPr>
        <w:t xml:space="preserve">The tables on the </w:t>
      </w:r>
      <w:r w:rsidRPr="009837A1">
        <w:rPr>
          <w:rFonts w:cs="Arial"/>
        </w:rPr>
        <w:t xml:space="preserve">following page illustrate the national rank scores for NW authorities from Apr-17 to </w:t>
      </w:r>
      <w:r w:rsidR="009837A1" w:rsidRPr="009837A1">
        <w:rPr>
          <w:rFonts w:cs="Arial"/>
        </w:rPr>
        <w:t>Nov</w:t>
      </w:r>
      <w:r w:rsidRPr="009837A1">
        <w:rPr>
          <w:rFonts w:cs="Arial"/>
        </w:rPr>
        <w:t xml:space="preserve">-17. The first table lists rank scores for the total DToC bed days per population and shows </w:t>
      </w:r>
      <w:r w:rsidR="009837A1" w:rsidRPr="009837A1">
        <w:rPr>
          <w:rFonts w:cs="Arial"/>
        </w:rPr>
        <w:t>no change</w:t>
      </w:r>
      <w:r w:rsidRPr="009837A1">
        <w:rPr>
          <w:rFonts w:cs="Arial"/>
        </w:rPr>
        <w:t xml:space="preserve"> for Lancashire with a ranking</w:t>
      </w:r>
      <w:r w:rsidR="009837A1" w:rsidRPr="009837A1">
        <w:rPr>
          <w:rFonts w:cs="Arial"/>
        </w:rPr>
        <w:t xml:space="preserve"> of</w:t>
      </w:r>
      <w:r w:rsidRPr="009837A1">
        <w:rPr>
          <w:rFonts w:cs="Arial"/>
        </w:rPr>
        <w:t xml:space="preserve"> </w:t>
      </w:r>
      <w:r w:rsidR="009837A1" w:rsidRPr="009837A1">
        <w:rPr>
          <w:rFonts w:cs="Arial"/>
        </w:rPr>
        <w:t>1</w:t>
      </w:r>
      <w:r w:rsidRPr="009837A1">
        <w:rPr>
          <w:rFonts w:cs="Arial"/>
        </w:rPr>
        <w:t>24 in Oct-17</w:t>
      </w:r>
      <w:r w:rsidR="009837A1" w:rsidRPr="009837A1">
        <w:rPr>
          <w:rFonts w:cs="Arial"/>
        </w:rPr>
        <w:t xml:space="preserve"> and Nov-17</w:t>
      </w:r>
      <w:r w:rsidRPr="009837A1">
        <w:rPr>
          <w:rFonts w:cs="Arial"/>
        </w:rPr>
        <w:t xml:space="preserve">. The second table lists rank scores for social care DToC bed days per population and shows a slight </w:t>
      </w:r>
      <w:r w:rsidR="009837A1" w:rsidRPr="009837A1">
        <w:rPr>
          <w:rFonts w:cs="Arial"/>
        </w:rPr>
        <w:t>worsening</w:t>
      </w:r>
      <w:r w:rsidRPr="009837A1">
        <w:rPr>
          <w:rFonts w:cs="Arial"/>
        </w:rPr>
        <w:t xml:space="preserve"> for Lancashire from 129 in Oct-17</w:t>
      </w:r>
      <w:r w:rsidR="009837A1" w:rsidRPr="009837A1">
        <w:rPr>
          <w:rFonts w:cs="Arial"/>
        </w:rPr>
        <w:t xml:space="preserve"> to 132 in Nov-17</w:t>
      </w:r>
      <w:r w:rsidRPr="009837A1">
        <w:rPr>
          <w:rFonts w:cs="Arial"/>
        </w:rPr>
        <w:t>, both ranks being a welcome improvement on the rank of 138 scored in May-17 and Jul-17.</w:t>
      </w:r>
      <w:r w:rsidR="002971C1" w:rsidRPr="009837A1">
        <w:rPr>
          <w:rFonts w:cs="Arial"/>
          <w:b/>
        </w:rPr>
        <w:br w:type="page"/>
      </w:r>
    </w:p>
    <w:p w:rsidR="00FE75DA" w:rsidRPr="009837A1" w:rsidRDefault="002971C1" w:rsidP="009837A1">
      <w:pPr>
        <w:spacing w:after="60" w:line="259" w:lineRule="auto"/>
        <w:rPr>
          <w:rFonts w:cs="Arial"/>
          <w:b/>
        </w:rPr>
      </w:pPr>
      <w:r w:rsidRPr="009837A1">
        <w:rPr>
          <w:rFonts w:cs="Arial"/>
          <w:b/>
        </w:rPr>
        <w:t>Rank of NW authorities – DToC Bed Days per 100,000 population aged 18+</w:t>
      </w:r>
    </w:p>
    <w:p w:rsidR="00FE75DA" w:rsidRPr="009837A1" w:rsidRDefault="00FE75DA" w:rsidP="009837A1">
      <w:pPr>
        <w:spacing w:after="0" w:line="259" w:lineRule="auto"/>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771"/>
        <w:gridCol w:w="856"/>
        <w:gridCol w:w="754"/>
        <w:gridCol w:w="695"/>
        <w:gridCol w:w="795"/>
        <w:gridCol w:w="777"/>
        <w:gridCol w:w="764"/>
        <w:gridCol w:w="805"/>
      </w:tblGrid>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color w:val="auto"/>
                <w:sz w:val="20"/>
                <w:szCs w:val="20"/>
                <w:lang w:eastAsia="en-GB"/>
              </w:rPr>
            </w:pPr>
          </w:p>
        </w:tc>
        <w:tc>
          <w:tcPr>
            <w:tcW w:w="3642" w:type="pct"/>
            <w:gridSpan w:val="8"/>
            <w:shd w:val="clear" w:color="000000" w:fill="FFFF00"/>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Rank Total per day per 100,000 18+ population</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Local Authority Name</w:t>
            </w:r>
          </w:p>
        </w:tc>
        <w:tc>
          <w:tcPr>
            <w:tcW w:w="452"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Apr-17</w:t>
            </w:r>
          </w:p>
        </w:tc>
        <w:tc>
          <w:tcPr>
            <w:tcW w:w="504"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May-17</w:t>
            </w:r>
          </w:p>
        </w:tc>
        <w:tc>
          <w:tcPr>
            <w:tcW w:w="439"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Jun-17</w:t>
            </w:r>
          </w:p>
        </w:tc>
        <w:tc>
          <w:tcPr>
            <w:tcW w:w="393"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Jul-17</w:t>
            </w:r>
          </w:p>
        </w:tc>
        <w:tc>
          <w:tcPr>
            <w:tcW w:w="471"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Aug-17</w:t>
            </w:r>
          </w:p>
        </w:tc>
        <w:tc>
          <w:tcPr>
            <w:tcW w:w="457"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Sep-17</w:t>
            </w:r>
          </w:p>
        </w:tc>
        <w:tc>
          <w:tcPr>
            <w:tcW w:w="447"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Oct-17</w:t>
            </w:r>
          </w:p>
        </w:tc>
        <w:tc>
          <w:tcPr>
            <w:tcW w:w="479"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Nov-17</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BLACKBURN WITH DARWEN UA</w:t>
            </w:r>
          </w:p>
        </w:tc>
        <w:tc>
          <w:tcPr>
            <w:tcW w:w="452" w:type="pct"/>
            <w:shd w:val="clear" w:color="000000" w:fill="BED8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45</w:t>
            </w:r>
          </w:p>
        </w:tc>
        <w:tc>
          <w:tcPr>
            <w:tcW w:w="504" w:type="pct"/>
            <w:shd w:val="clear" w:color="000000" w:fill="EEE6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68</w:t>
            </w:r>
          </w:p>
        </w:tc>
        <w:tc>
          <w:tcPr>
            <w:tcW w:w="439" w:type="pct"/>
            <w:shd w:val="clear" w:color="000000" w:fill="FCEA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75</w:t>
            </w:r>
          </w:p>
        </w:tc>
        <w:tc>
          <w:tcPr>
            <w:tcW w:w="393" w:type="pct"/>
            <w:shd w:val="clear" w:color="000000" w:fill="BCD7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44</w:t>
            </w:r>
          </w:p>
        </w:tc>
        <w:tc>
          <w:tcPr>
            <w:tcW w:w="471" w:type="pct"/>
            <w:shd w:val="clear" w:color="000000" w:fill="EAE5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66</w:t>
            </w:r>
          </w:p>
        </w:tc>
        <w:tc>
          <w:tcPr>
            <w:tcW w:w="457" w:type="pct"/>
            <w:shd w:val="clear" w:color="000000" w:fill="F0E6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69</w:t>
            </w:r>
          </w:p>
        </w:tc>
        <w:tc>
          <w:tcPr>
            <w:tcW w:w="447" w:type="pct"/>
            <w:shd w:val="clear" w:color="000000" w:fill="F6E8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72</w:t>
            </w:r>
          </w:p>
        </w:tc>
        <w:tc>
          <w:tcPr>
            <w:tcW w:w="479" w:type="pct"/>
            <w:shd w:val="clear" w:color="000000" w:fill="FAE9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74</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BLACKPOOL UA</w:t>
            </w:r>
          </w:p>
        </w:tc>
        <w:tc>
          <w:tcPr>
            <w:tcW w:w="452" w:type="pct"/>
            <w:shd w:val="clear" w:color="000000" w:fill="FED3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90</w:t>
            </w:r>
          </w:p>
        </w:tc>
        <w:tc>
          <w:tcPr>
            <w:tcW w:w="504" w:type="pct"/>
            <w:shd w:val="clear" w:color="000000" w:fill="FFE1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82</w:t>
            </w:r>
          </w:p>
        </w:tc>
        <w:tc>
          <w:tcPr>
            <w:tcW w:w="439" w:type="pct"/>
            <w:shd w:val="clear" w:color="000000" w:fill="FFDE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84</w:t>
            </w:r>
          </w:p>
        </w:tc>
        <w:tc>
          <w:tcPr>
            <w:tcW w:w="393" w:type="pct"/>
            <w:shd w:val="clear" w:color="000000" w:fill="FED2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91</w:t>
            </w:r>
          </w:p>
        </w:tc>
        <w:tc>
          <w:tcPr>
            <w:tcW w:w="471" w:type="pct"/>
            <w:shd w:val="clear" w:color="000000" w:fill="FCB179"/>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110</w:t>
            </w:r>
          </w:p>
        </w:tc>
        <w:tc>
          <w:tcPr>
            <w:tcW w:w="457" w:type="pct"/>
            <w:shd w:val="clear" w:color="000000" w:fill="FCAF79"/>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111</w:t>
            </w:r>
          </w:p>
        </w:tc>
        <w:tc>
          <w:tcPr>
            <w:tcW w:w="447" w:type="pct"/>
            <w:shd w:val="clear" w:color="000000" w:fill="FB95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126</w:t>
            </w:r>
          </w:p>
        </w:tc>
        <w:tc>
          <w:tcPr>
            <w:tcW w:w="479" w:type="pct"/>
            <w:shd w:val="clear" w:color="000000" w:fill="FA82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137</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BOLTON</w:t>
            </w:r>
          </w:p>
        </w:tc>
        <w:tc>
          <w:tcPr>
            <w:tcW w:w="452" w:type="pct"/>
            <w:shd w:val="clear" w:color="000000" w:fill="FFDC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85</w:t>
            </w:r>
          </w:p>
        </w:tc>
        <w:tc>
          <w:tcPr>
            <w:tcW w:w="504" w:type="pct"/>
            <w:shd w:val="clear" w:color="000000" w:fill="FCAF79"/>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111</w:t>
            </w:r>
          </w:p>
        </w:tc>
        <w:tc>
          <w:tcPr>
            <w:tcW w:w="439" w:type="pct"/>
            <w:shd w:val="clear" w:color="000000" w:fill="FED2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91</w:t>
            </w:r>
          </w:p>
        </w:tc>
        <w:tc>
          <w:tcPr>
            <w:tcW w:w="393" w:type="pct"/>
            <w:shd w:val="clear" w:color="000000" w:fill="C2D9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47</w:t>
            </w:r>
          </w:p>
        </w:tc>
        <w:tc>
          <w:tcPr>
            <w:tcW w:w="471" w:type="pct"/>
            <w:shd w:val="clear" w:color="000000" w:fill="D5DF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56</w:t>
            </w:r>
          </w:p>
        </w:tc>
        <w:tc>
          <w:tcPr>
            <w:tcW w:w="457" w:type="pct"/>
            <w:shd w:val="clear" w:color="000000" w:fill="FCB179"/>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110</w:t>
            </w:r>
          </w:p>
        </w:tc>
        <w:tc>
          <w:tcPr>
            <w:tcW w:w="447" w:type="pct"/>
            <w:shd w:val="clear" w:color="000000" w:fill="FB97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125</w:t>
            </w:r>
          </w:p>
        </w:tc>
        <w:tc>
          <w:tcPr>
            <w:tcW w:w="479" w:type="pct"/>
            <w:shd w:val="clear" w:color="000000" w:fill="FED0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92</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BURY</w:t>
            </w:r>
          </w:p>
        </w:tc>
        <w:tc>
          <w:tcPr>
            <w:tcW w:w="452" w:type="pct"/>
            <w:shd w:val="clear" w:color="000000" w:fill="FB917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128</w:t>
            </w:r>
          </w:p>
        </w:tc>
        <w:tc>
          <w:tcPr>
            <w:tcW w:w="504" w:type="pct"/>
            <w:shd w:val="clear" w:color="000000" w:fill="FCEA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75</w:t>
            </w:r>
          </w:p>
        </w:tc>
        <w:tc>
          <w:tcPr>
            <w:tcW w:w="439" w:type="pct"/>
            <w:shd w:val="clear" w:color="000000" w:fill="FFDF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83</w:t>
            </w:r>
          </w:p>
        </w:tc>
        <w:tc>
          <w:tcPr>
            <w:tcW w:w="393" w:type="pct"/>
            <w:shd w:val="clear" w:color="000000" w:fill="FB907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129</w:t>
            </w:r>
          </w:p>
        </w:tc>
        <w:tc>
          <w:tcPr>
            <w:tcW w:w="471" w:type="pct"/>
            <w:shd w:val="clear" w:color="000000" w:fill="FB97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125</w:t>
            </w:r>
          </w:p>
        </w:tc>
        <w:tc>
          <w:tcPr>
            <w:tcW w:w="457" w:type="pct"/>
            <w:shd w:val="clear" w:color="000000" w:fill="F9796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142</w:t>
            </w:r>
          </w:p>
        </w:tc>
        <w:tc>
          <w:tcPr>
            <w:tcW w:w="447" w:type="pct"/>
            <w:shd w:val="clear" w:color="000000" w:fill="F96F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148</w:t>
            </w:r>
          </w:p>
        </w:tc>
        <w:tc>
          <w:tcPr>
            <w:tcW w:w="479" w:type="pct"/>
            <w:shd w:val="clear" w:color="000000" w:fill="F9746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145</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CHESHIRE EAST</w:t>
            </w:r>
          </w:p>
        </w:tc>
        <w:tc>
          <w:tcPr>
            <w:tcW w:w="452" w:type="pct"/>
            <w:shd w:val="clear" w:color="000000" w:fill="FA8C7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131</w:t>
            </w:r>
          </w:p>
        </w:tc>
        <w:tc>
          <w:tcPr>
            <w:tcW w:w="504" w:type="pct"/>
            <w:shd w:val="clear" w:color="000000" w:fill="FBA1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119</w:t>
            </w:r>
          </w:p>
        </w:tc>
        <w:tc>
          <w:tcPr>
            <w:tcW w:w="439" w:type="pct"/>
            <w:shd w:val="clear" w:color="000000" w:fill="FCAD78"/>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112</w:t>
            </w:r>
          </w:p>
        </w:tc>
        <w:tc>
          <w:tcPr>
            <w:tcW w:w="393" w:type="pct"/>
            <w:shd w:val="clear" w:color="000000" w:fill="FB937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127</w:t>
            </w:r>
          </w:p>
        </w:tc>
        <w:tc>
          <w:tcPr>
            <w:tcW w:w="471" w:type="pct"/>
            <w:shd w:val="clear" w:color="000000" w:fill="FDB47A"/>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108</w:t>
            </w:r>
          </w:p>
        </w:tc>
        <w:tc>
          <w:tcPr>
            <w:tcW w:w="457" w:type="pct"/>
            <w:shd w:val="clear" w:color="000000" w:fill="FDB67A"/>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107</w:t>
            </w:r>
          </w:p>
        </w:tc>
        <w:tc>
          <w:tcPr>
            <w:tcW w:w="447" w:type="pct"/>
            <w:shd w:val="clear" w:color="000000" w:fill="FFDA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86</w:t>
            </w:r>
          </w:p>
        </w:tc>
        <w:tc>
          <w:tcPr>
            <w:tcW w:w="479" w:type="pct"/>
            <w:shd w:val="clear" w:color="000000" w:fill="FFDC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85</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CHESHIRE WEST AND CHESTER</w:t>
            </w:r>
          </w:p>
        </w:tc>
        <w:tc>
          <w:tcPr>
            <w:tcW w:w="452" w:type="pct"/>
            <w:shd w:val="clear" w:color="000000" w:fill="FECB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95</w:t>
            </w:r>
          </w:p>
        </w:tc>
        <w:tc>
          <w:tcPr>
            <w:tcW w:w="504" w:type="pct"/>
            <w:shd w:val="clear" w:color="000000" w:fill="FFE5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80</w:t>
            </w:r>
          </w:p>
        </w:tc>
        <w:tc>
          <w:tcPr>
            <w:tcW w:w="439" w:type="pct"/>
            <w:shd w:val="clear" w:color="000000" w:fill="FA877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134</w:t>
            </w:r>
          </w:p>
        </w:tc>
        <w:tc>
          <w:tcPr>
            <w:tcW w:w="393" w:type="pct"/>
            <w:shd w:val="clear" w:color="000000" w:fill="FCB179"/>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110</w:t>
            </w:r>
          </w:p>
        </w:tc>
        <w:tc>
          <w:tcPr>
            <w:tcW w:w="471" w:type="pct"/>
            <w:shd w:val="clear" w:color="000000" w:fill="FECE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93</w:t>
            </w:r>
          </w:p>
        </w:tc>
        <w:tc>
          <w:tcPr>
            <w:tcW w:w="457" w:type="pct"/>
            <w:shd w:val="clear" w:color="000000" w:fill="FED7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88</w:t>
            </w:r>
          </w:p>
        </w:tc>
        <w:tc>
          <w:tcPr>
            <w:tcW w:w="447" w:type="pct"/>
            <w:shd w:val="clear" w:color="000000" w:fill="E3E3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63</w:t>
            </w:r>
          </w:p>
        </w:tc>
        <w:tc>
          <w:tcPr>
            <w:tcW w:w="479" w:type="pct"/>
            <w:shd w:val="clear" w:color="000000" w:fill="FCA6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116</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CUMBRIA</w:t>
            </w:r>
          </w:p>
        </w:tc>
        <w:tc>
          <w:tcPr>
            <w:tcW w:w="452"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c>
          <w:tcPr>
            <w:tcW w:w="504"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c>
          <w:tcPr>
            <w:tcW w:w="439" w:type="pct"/>
            <w:shd w:val="clear" w:color="000000" w:fill="F96B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150</w:t>
            </w:r>
          </w:p>
        </w:tc>
        <w:tc>
          <w:tcPr>
            <w:tcW w:w="393" w:type="pct"/>
            <w:shd w:val="clear" w:color="000000" w:fill="F96D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149</w:t>
            </w:r>
          </w:p>
        </w:tc>
        <w:tc>
          <w:tcPr>
            <w:tcW w:w="471"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c>
          <w:tcPr>
            <w:tcW w:w="457"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c>
          <w:tcPr>
            <w:tcW w:w="447"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c>
          <w:tcPr>
            <w:tcW w:w="479"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HALTON UA</w:t>
            </w:r>
          </w:p>
        </w:tc>
        <w:tc>
          <w:tcPr>
            <w:tcW w:w="452" w:type="pct"/>
            <w:shd w:val="clear" w:color="000000" w:fill="FB907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129</w:t>
            </w:r>
          </w:p>
        </w:tc>
        <w:tc>
          <w:tcPr>
            <w:tcW w:w="504" w:type="pct"/>
            <w:shd w:val="clear" w:color="000000" w:fill="FDBB7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104</w:t>
            </w:r>
          </w:p>
        </w:tc>
        <w:tc>
          <w:tcPr>
            <w:tcW w:w="439" w:type="pct"/>
            <w:shd w:val="clear" w:color="000000" w:fill="CDDC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52</w:t>
            </w:r>
          </w:p>
        </w:tc>
        <w:tc>
          <w:tcPr>
            <w:tcW w:w="393" w:type="pct"/>
            <w:shd w:val="clear" w:color="000000" w:fill="FFEA8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77</w:t>
            </w:r>
          </w:p>
        </w:tc>
        <w:tc>
          <w:tcPr>
            <w:tcW w:w="471" w:type="pct"/>
            <w:shd w:val="clear" w:color="000000" w:fill="FB9A75"/>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123</w:t>
            </w:r>
          </w:p>
        </w:tc>
        <w:tc>
          <w:tcPr>
            <w:tcW w:w="457" w:type="pct"/>
            <w:shd w:val="clear" w:color="000000" w:fill="FA7D6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140</w:t>
            </w:r>
          </w:p>
        </w:tc>
        <w:tc>
          <w:tcPr>
            <w:tcW w:w="447" w:type="pct"/>
            <w:shd w:val="clear" w:color="000000" w:fill="FA857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135</w:t>
            </w:r>
          </w:p>
        </w:tc>
        <w:tc>
          <w:tcPr>
            <w:tcW w:w="479" w:type="pct"/>
            <w:shd w:val="clear" w:color="000000" w:fill="F96D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149</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KNOWSLEY</w:t>
            </w:r>
          </w:p>
        </w:tc>
        <w:tc>
          <w:tcPr>
            <w:tcW w:w="452" w:type="pct"/>
            <w:shd w:val="clear" w:color="000000" w:fill="FED0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92</w:t>
            </w:r>
          </w:p>
        </w:tc>
        <w:tc>
          <w:tcPr>
            <w:tcW w:w="504" w:type="pct"/>
            <w:shd w:val="clear" w:color="000000" w:fill="F0E6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69</w:t>
            </w:r>
          </w:p>
        </w:tc>
        <w:tc>
          <w:tcPr>
            <w:tcW w:w="439" w:type="pct"/>
            <w:shd w:val="clear" w:color="000000" w:fill="FED0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92</w:t>
            </w:r>
          </w:p>
        </w:tc>
        <w:tc>
          <w:tcPr>
            <w:tcW w:w="393" w:type="pct"/>
            <w:shd w:val="clear" w:color="000000" w:fill="FECB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95</w:t>
            </w:r>
          </w:p>
        </w:tc>
        <w:tc>
          <w:tcPr>
            <w:tcW w:w="471" w:type="pct"/>
            <w:shd w:val="clear" w:color="000000" w:fill="FB937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127</w:t>
            </w:r>
          </w:p>
        </w:tc>
        <w:tc>
          <w:tcPr>
            <w:tcW w:w="457" w:type="pct"/>
            <w:shd w:val="clear" w:color="000000" w:fill="FB9A75"/>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123</w:t>
            </w:r>
          </w:p>
        </w:tc>
        <w:tc>
          <w:tcPr>
            <w:tcW w:w="447" w:type="pct"/>
            <w:shd w:val="clear" w:color="000000" w:fill="FED8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87</w:t>
            </w:r>
          </w:p>
        </w:tc>
        <w:tc>
          <w:tcPr>
            <w:tcW w:w="479" w:type="pct"/>
            <w:shd w:val="clear" w:color="000000" w:fill="BED8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45</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LANCASHIRE</w:t>
            </w:r>
          </w:p>
        </w:tc>
        <w:tc>
          <w:tcPr>
            <w:tcW w:w="452" w:type="pct"/>
            <w:shd w:val="clear" w:color="000000" w:fill="FB9D75"/>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121</w:t>
            </w:r>
          </w:p>
        </w:tc>
        <w:tc>
          <w:tcPr>
            <w:tcW w:w="504" w:type="pct"/>
            <w:shd w:val="clear" w:color="000000" w:fill="FB95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126</w:t>
            </w:r>
          </w:p>
        </w:tc>
        <w:tc>
          <w:tcPr>
            <w:tcW w:w="439" w:type="pct"/>
            <w:shd w:val="clear" w:color="000000" w:fill="FBA1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119</w:t>
            </w:r>
          </w:p>
        </w:tc>
        <w:tc>
          <w:tcPr>
            <w:tcW w:w="393" w:type="pct"/>
            <w:shd w:val="clear" w:color="000000" w:fill="FB97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125</w:t>
            </w:r>
          </w:p>
        </w:tc>
        <w:tc>
          <w:tcPr>
            <w:tcW w:w="471" w:type="pct"/>
            <w:shd w:val="clear" w:color="000000" w:fill="FCAB78"/>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113</w:t>
            </w:r>
          </w:p>
        </w:tc>
        <w:tc>
          <w:tcPr>
            <w:tcW w:w="457" w:type="pct"/>
            <w:shd w:val="clear" w:color="000000" w:fill="FCA4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117</w:t>
            </w:r>
          </w:p>
        </w:tc>
        <w:tc>
          <w:tcPr>
            <w:tcW w:w="447" w:type="pct"/>
            <w:shd w:val="clear" w:color="000000" w:fill="FB98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124</w:t>
            </w:r>
          </w:p>
        </w:tc>
        <w:tc>
          <w:tcPr>
            <w:tcW w:w="479" w:type="pct"/>
            <w:shd w:val="clear" w:color="000000" w:fill="FB98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124</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LIVERPOOL</w:t>
            </w:r>
          </w:p>
        </w:tc>
        <w:tc>
          <w:tcPr>
            <w:tcW w:w="452" w:type="pct"/>
            <w:shd w:val="clear" w:color="000000" w:fill="FED7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88</w:t>
            </w:r>
          </w:p>
        </w:tc>
        <w:tc>
          <w:tcPr>
            <w:tcW w:w="504" w:type="pct"/>
            <w:shd w:val="clear" w:color="000000" w:fill="FDB47A"/>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108</w:t>
            </w:r>
          </w:p>
        </w:tc>
        <w:tc>
          <w:tcPr>
            <w:tcW w:w="439" w:type="pct"/>
            <w:shd w:val="clear" w:color="000000" w:fill="FDB87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106</w:t>
            </w:r>
          </w:p>
        </w:tc>
        <w:tc>
          <w:tcPr>
            <w:tcW w:w="393" w:type="pct"/>
            <w:shd w:val="clear" w:color="000000" w:fill="FFDA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86</w:t>
            </w:r>
          </w:p>
        </w:tc>
        <w:tc>
          <w:tcPr>
            <w:tcW w:w="471" w:type="pct"/>
            <w:shd w:val="clear" w:color="000000" w:fill="FDC0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101</w:t>
            </w:r>
          </w:p>
        </w:tc>
        <w:tc>
          <w:tcPr>
            <w:tcW w:w="457" w:type="pct"/>
            <w:shd w:val="clear" w:color="000000" w:fill="FECE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93</w:t>
            </w:r>
          </w:p>
        </w:tc>
        <w:tc>
          <w:tcPr>
            <w:tcW w:w="447" w:type="pct"/>
            <w:shd w:val="clear" w:color="000000" w:fill="FDC0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101</w:t>
            </w:r>
          </w:p>
        </w:tc>
        <w:tc>
          <w:tcPr>
            <w:tcW w:w="479" w:type="pct"/>
            <w:shd w:val="clear" w:color="000000" w:fill="FB9A75"/>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123</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MANCHESTER</w:t>
            </w:r>
          </w:p>
        </w:tc>
        <w:tc>
          <w:tcPr>
            <w:tcW w:w="452" w:type="pct"/>
            <w:shd w:val="clear" w:color="000000" w:fill="FDBE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102</w:t>
            </w:r>
          </w:p>
        </w:tc>
        <w:tc>
          <w:tcPr>
            <w:tcW w:w="504" w:type="pct"/>
            <w:shd w:val="clear" w:color="000000" w:fill="FDBD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103</w:t>
            </w:r>
          </w:p>
        </w:tc>
        <w:tc>
          <w:tcPr>
            <w:tcW w:w="439" w:type="pct"/>
            <w:shd w:val="clear" w:color="000000" w:fill="FCA6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116</w:t>
            </w:r>
          </w:p>
        </w:tc>
        <w:tc>
          <w:tcPr>
            <w:tcW w:w="393" w:type="pct"/>
            <w:shd w:val="clear" w:color="000000" w:fill="FDC2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100</w:t>
            </w:r>
          </w:p>
        </w:tc>
        <w:tc>
          <w:tcPr>
            <w:tcW w:w="471" w:type="pct"/>
            <w:shd w:val="clear" w:color="000000" w:fill="FB9D75"/>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121</w:t>
            </w:r>
          </w:p>
        </w:tc>
        <w:tc>
          <w:tcPr>
            <w:tcW w:w="457" w:type="pct"/>
            <w:shd w:val="clear" w:color="000000" w:fill="FDBE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102</w:t>
            </w:r>
          </w:p>
        </w:tc>
        <w:tc>
          <w:tcPr>
            <w:tcW w:w="447" w:type="pct"/>
            <w:shd w:val="clear" w:color="000000" w:fill="FCA4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117</w:t>
            </w:r>
          </w:p>
        </w:tc>
        <w:tc>
          <w:tcPr>
            <w:tcW w:w="479" w:type="pct"/>
            <w:shd w:val="clear" w:color="000000" w:fill="FB937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127</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OLDHAM</w:t>
            </w:r>
          </w:p>
        </w:tc>
        <w:tc>
          <w:tcPr>
            <w:tcW w:w="452" w:type="pct"/>
            <w:shd w:val="clear" w:color="000000" w:fill="C4DA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48</w:t>
            </w:r>
          </w:p>
        </w:tc>
        <w:tc>
          <w:tcPr>
            <w:tcW w:w="504" w:type="pct"/>
            <w:shd w:val="clear" w:color="000000" w:fill="CDDC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52</w:t>
            </w:r>
          </w:p>
        </w:tc>
        <w:tc>
          <w:tcPr>
            <w:tcW w:w="439" w:type="pct"/>
            <w:shd w:val="clear" w:color="000000" w:fill="94CC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25</w:t>
            </w:r>
          </w:p>
        </w:tc>
        <w:tc>
          <w:tcPr>
            <w:tcW w:w="393" w:type="pct"/>
            <w:shd w:val="clear" w:color="000000" w:fill="8CCA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21</w:t>
            </w:r>
          </w:p>
        </w:tc>
        <w:tc>
          <w:tcPr>
            <w:tcW w:w="471" w:type="pct"/>
            <w:shd w:val="clear" w:color="000000" w:fill="75C3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w:t>
            </w:r>
          </w:p>
        </w:tc>
        <w:tc>
          <w:tcPr>
            <w:tcW w:w="457" w:type="pct"/>
            <w:shd w:val="clear" w:color="000000" w:fill="9DCE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29</w:t>
            </w:r>
          </w:p>
        </w:tc>
        <w:tc>
          <w:tcPr>
            <w:tcW w:w="447" w:type="pct"/>
            <w:shd w:val="clear" w:color="000000" w:fill="80C6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w:t>
            </w:r>
          </w:p>
        </w:tc>
        <w:tc>
          <w:tcPr>
            <w:tcW w:w="479" w:type="pct"/>
            <w:shd w:val="clear" w:color="000000" w:fill="D9E0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58</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ROCHDALE</w:t>
            </w:r>
          </w:p>
        </w:tc>
        <w:tc>
          <w:tcPr>
            <w:tcW w:w="452" w:type="pct"/>
            <w:shd w:val="clear" w:color="000000" w:fill="73C27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w:t>
            </w:r>
          </w:p>
        </w:tc>
        <w:tc>
          <w:tcPr>
            <w:tcW w:w="504" w:type="pct"/>
            <w:shd w:val="clear" w:color="000000" w:fill="75C3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w:t>
            </w:r>
          </w:p>
        </w:tc>
        <w:tc>
          <w:tcPr>
            <w:tcW w:w="439" w:type="pct"/>
            <w:shd w:val="clear" w:color="000000" w:fill="69BF7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w:t>
            </w:r>
          </w:p>
        </w:tc>
        <w:tc>
          <w:tcPr>
            <w:tcW w:w="393" w:type="pct"/>
            <w:shd w:val="clear" w:color="000000" w:fill="8AC9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20</w:t>
            </w:r>
          </w:p>
        </w:tc>
        <w:tc>
          <w:tcPr>
            <w:tcW w:w="471" w:type="pct"/>
            <w:shd w:val="clear" w:color="000000" w:fill="86C8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18</w:t>
            </w:r>
          </w:p>
        </w:tc>
        <w:tc>
          <w:tcPr>
            <w:tcW w:w="457" w:type="pct"/>
            <w:shd w:val="clear" w:color="000000" w:fill="8CCA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21</w:t>
            </w:r>
          </w:p>
        </w:tc>
        <w:tc>
          <w:tcPr>
            <w:tcW w:w="447" w:type="pct"/>
            <w:shd w:val="clear" w:color="000000" w:fill="97CD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26</w:t>
            </w:r>
          </w:p>
        </w:tc>
        <w:tc>
          <w:tcPr>
            <w:tcW w:w="479" w:type="pct"/>
            <w:shd w:val="clear" w:color="000000" w:fill="D7DF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57</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SALFORD</w:t>
            </w:r>
          </w:p>
        </w:tc>
        <w:tc>
          <w:tcPr>
            <w:tcW w:w="452" w:type="pct"/>
            <w:shd w:val="clear" w:color="000000" w:fill="D1DD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54</w:t>
            </w:r>
          </w:p>
        </w:tc>
        <w:tc>
          <w:tcPr>
            <w:tcW w:w="504" w:type="pct"/>
            <w:shd w:val="clear" w:color="000000" w:fill="FFDE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84</w:t>
            </w:r>
          </w:p>
        </w:tc>
        <w:tc>
          <w:tcPr>
            <w:tcW w:w="439" w:type="pct"/>
            <w:shd w:val="clear" w:color="000000" w:fill="FFDA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86</w:t>
            </w:r>
          </w:p>
        </w:tc>
        <w:tc>
          <w:tcPr>
            <w:tcW w:w="393" w:type="pct"/>
            <w:shd w:val="clear" w:color="000000" w:fill="DDE1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60</w:t>
            </w:r>
          </w:p>
        </w:tc>
        <w:tc>
          <w:tcPr>
            <w:tcW w:w="471" w:type="pct"/>
            <w:shd w:val="clear" w:color="000000" w:fill="FFE6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79</w:t>
            </w:r>
          </w:p>
        </w:tc>
        <w:tc>
          <w:tcPr>
            <w:tcW w:w="457" w:type="pct"/>
            <w:shd w:val="clear" w:color="000000" w:fill="DFE2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61</w:t>
            </w:r>
          </w:p>
        </w:tc>
        <w:tc>
          <w:tcPr>
            <w:tcW w:w="447" w:type="pct"/>
            <w:shd w:val="clear" w:color="000000" w:fill="E8E4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65</w:t>
            </w:r>
          </w:p>
        </w:tc>
        <w:tc>
          <w:tcPr>
            <w:tcW w:w="479" w:type="pct"/>
            <w:shd w:val="clear" w:color="000000" w:fill="B2D4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39</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SEFTON</w:t>
            </w:r>
          </w:p>
        </w:tc>
        <w:tc>
          <w:tcPr>
            <w:tcW w:w="452" w:type="pct"/>
            <w:shd w:val="clear" w:color="000000" w:fill="FDB97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105</w:t>
            </w:r>
          </w:p>
        </w:tc>
        <w:tc>
          <w:tcPr>
            <w:tcW w:w="504" w:type="pct"/>
            <w:shd w:val="clear" w:color="000000" w:fill="FDBE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102</w:t>
            </w:r>
          </w:p>
        </w:tc>
        <w:tc>
          <w:tcPr>
            <w:tcW w:w="439" w:type="pct"/>
            <w:shd w:val="clear" w:color="000000" w:fill="FCAB78"/>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113</w:t>
            </w:r>
          </w:p>
        </w:tc>
        <w:tc>
          <w:tcPr>
            <w:tcW w:w="393" w:type="pct"/>
            <w:shd w:val="clear" w:color="000000" w:fill="FED3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90</w:t>
            </w:r>
          </w:p>
        </w:tc>
        <w:tc>
          <w:tcPr>
            <w:tcW w:w="471" w:type="pct"/>
            <w:shd w:val="clear" w:color="000000" w:fill="FCB27A"/>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109</w:t>
            </w:r>
          </w:p>
        </w:tc>
        <w:tc>
          <w:tcPr>
            <w:tcW w:w="457" w:type="pct"/>
            <w:shd w:val="clear" w:color="000000" w:fill="FDB97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105</w:t>
            </w:r>
          </w:p>
        </w:tc>
        <w:tc>
          <w:tcPr>
            <w:tcW w:w="447" w:type="pct"/>
            <w:shd w:val="clear" w:color="000000" w:fill="FCAA78"/>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114</w:t>
            </w:r>
          </w:p>
        </w:tc>
        <w:tc>
          <w:tcPr>
            <w:tcW w:w="479" w:type="pct"/>
            <w:shd w:val="clear" w:color="000000" w:fill="FA80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138</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ST HELENS</w:t>
            </w:r>
          </w:p>
        </w:tc>
        <w:tc>
          <w:tcPr>
            <w:tcW w:w="452" w:type="pct"/>
            <w:shd w:val="clear" w:color="000000" w:fill="C8DB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50</w:t>
            </w:r>
          </w:p>
        </w:tc>
        <w:tc>
          <w:tcPr>
            <w:tcW w:w="504" w:type="pct"/>
            <w:shd w:val="clear" w:color="000000" w:fill="C0D9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46</w:t>
            </w:r>
          </w:p>
        </w:tc>
        <w:tc>
          <w:tcPr>
            <w:tcW w:w="439" w:type="pct"/>
            <w:shd w:val="clear" w:color="000000" w:fill="D1DD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54</w:t>
            </w:r>
          </w:p>
        </w:tc>
        <w:tc>
          <w:tcPr>
            <w:tcW w:w="393" w:type="pct"/>
            <w:shd w:val="clear" w:color="000000" w:fill="FDC5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98</w:t>
            </w:r>
          </w:p>
        </w:tc>
        <w:tc>
          <w:tcPr>
            <w:tcW w:w="471" w:type="pct"/>
            <w:shd w:val="clear" w:color="000000" w:fill="ECE5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67</w:t>
            </w:r>
          </w:p>
        </w:tc>
        <w:tc>
          <w:tcPr>
            <w:tcW w:w="457" w:type="pct"/>
            <w:shd w:val="clear" w:color="000000" w:fill="FFE5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80</w:t>
            </w:r>
          </w:p>
        </w:tc>
        <w:tc>
          <w:tcPr>
            <w:tcW w:w="447" w:type="pct"/>
            <w:shd w:val="clear" w:color="000000" w:fill="FED3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90</w:t>
            </w:r>
          </w:p>
        </w:tc>
        <w:tc>
          <w:tcPr>
            <w:tcW w:w="479" w:type="pct"/>
            <w:shd w:val="clear" w:color="000000" w:fill="EEE6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68</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STOCKPORT</w:t>
            </w:r>
          </w:p>
        </w:tc>
        <w:tc>
          <w:tcPr>
            <w:tcW w:w="452" w:type="pct"/>
            <w:shd w:val="clear" w:color="000000" w:fill="FED5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89</w:t>
            </w:r>
          </w:p>
        </w:tc>
        <w:tc>
          <w:tcPr>
            <w:tcW w:w="504" w:type="pct"/>
            <w:shd w:val="clear" w:color="000000" w:fill="FCAB78"/>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113</w:t>
            </w:r>
          </w:p>
        </w:tc>
        <w:tc>
          <w:tcPr>
            <w:tcW w:w="439" w:type="pct"/>
            <w:shd w:val="clear" w:color="000000" w:fill="FB9D75"/>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121</w:t>
            </w:r>
          </w:p>
        </w:tc>
        <w:tc>
          <w:tcPr>
            <w:tcW w:w="393" w:type="pct"/>
            <w:shd w:val="clear" w:color="000000" w:fill="FCA6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116</w:t>
            </w:r>
          </w:p>
        </w:tc>
        <w:tc>
          <w:tcPr>
            <w:tcW w:w="471" w:type="pct"/>
            <w:shd w:val="clear" w:color="000000" w:fill="FA8A7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132</w:t>
            </w:r>
          </w:p>
        </w:tc>
        <w:tc>
          <w:tcPr>
            <w:tcW w:w="457" w:type="pct"/>
            <w:shd w:val="clear" w:color="000000" w:fill="FB98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124</w:t>
            </w:r>
          </w:p>
        </w:tc>
        <w:tc>
          <w:tcPr>
            <w:tcW w:w="447" w:type="pct"/>
            <w:shd w:val="clear" w:color="000000" w:fill="FDBD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103</w:t>
            </w:r>
          </w:p>
        </w:tc>
        <w:tc>
          <w:tcPr>
            <w:tcW w:w="479" w:type="pct"/>
            <w:shd w:val="clear" w:color="000000" w:fill="FCAA78"/>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114</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TAMESIDE</w:t>
            </w:r>
          </w:p>
        </w:tc>
        <w:tc>
          <w:tcPr>
            <w:tcW w:w="452" w:type="pct"/>
            <w:shd w:val="clear" w:color="000000" w:fill="FCA4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117</w:t>
            </w:r>
          </w:p>
        </w:tc>
        <w:tc>
          <w:tcPr>
            <w:tcW w:w="504" w:type="pct"/>
            <w:shd w:val="clear" w:color="000000" w:fill="FCA3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118</w:t>
            </w:r>
          </w:p>
        </w:tc>
        <w:tc>
          <w:tcPr>
            <w:tcW w:w="439" w:type="pct"/>
            <w:shd w:val="clear" w:color="000000" w:fill="FDC0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101</w:t>
            </w:r>
          </w:p>
        </w:tc>
        <w:tc>
          <w:tcPr>
            <w:tcW w:w="393" w:type="pct"/>
            <w:shd w:val="clear" w:color="000000" w:fill="FB9F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120</w:t>
            </w:r>
          </w:p>
        </w:tc>
        <w:tc>
          <w:tcPr>
            <w:tcW w:w="471" w:type="pct"/>
            <w:shd w:val="clear" w:color="000000" w:fill="FA80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138</w:t>
            </w:r>
          </w:p>
        </w:tc>
        <w:tc>
          <w:tcPr>
            <w:tcW w:w="457" w:type="pct"/>
            <w:shd w:val="clear" w:color="000000" w:fill="FBA1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119</w:t>
            </w:r>
          </w:p>
        </w:tc>
        <w:tc>
          <w:tcPr>
            <w:tcW w:w="447" w:type="pct"/>
            <w:shd w:val="clear" w:color="000000" w:fill="FCB27A"/>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109</w:t>
            </w:r>
          </w:p>
        </w:tc>
        <w:tc>
          <w:tcPr>
            <w:tcW w:w="479" w:type="pct"/>
            <w:shd w:val="clear" w:color="000000" w:fill="FB9C75"/>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122</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TRAFFORD</w:t>
            </w:r>
          </w:p>
        </w:tc>
        <w:tc>
          <w:tcPr>
            <w:tcW w:w="452" w:type="pct"/>
            <w:shd w:val="clear" w:color="000000" w:fill="F9746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145</w:t>
            </w:r>
          </w:p>
        </w:tc>
        <w:tc>
          <w:tcPr>
            <w:tcW w:w="504" w:type="pct"/>
            <w:shd w:val="clear" w:color="000000" w:fill="F9776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143</w:t>
            </w:r>
          </w:p>
        </w:tc>
        <w:tc>
          <w:tcPr>
            <w:tcW w:w="439" w:type="pct"/>
            <w:shd w:val="clear" w:color="000000" w:fill="F9746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145</w:t>
            </w:r>
          </w:p>
        </w:tc>
        <w:tc>
          <w:tcPr>
            <w:tcW w:w="393" w:type="pct"/>
            <w:shd w:val="clear" w:color="000000" w:fill="F9746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145</w:t>
            </w:r>
          </w:p>
        </w:tc>
        <w:tc>
          <w:tcPr>
            <w:tcW w:w="471" w:type="pct"/>
            <w:shd w:val="clear" w:color="000000" w:fill="F96F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148</w:t>
            </w:r>
          </w:p>
        </w:tc>
        <w:tc>
          <w:tcPr>
            <w:tcW w:w="457" w:type="pct"/>
            <w:shd w:val="clear" w:color="000000" w:fill="F96B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150</w:t>
            </w:r>
          </w:p>
        </w:tc>
        <w:tc>
          <w:tcPr>
            <w:tcW w:w="447" w:type="pct"/>
            <w:shd w:val="clear" w:color="000000" w:fill="F96B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150</w:t>
            </w:r>
          </w:p>
        </w:tc>
        <w:tc>
          <w:tcPr>
            <w:tcW w:w="479" w:type="pct"/>
            <w:shd w:val="clear" w:color="000000" w:fill="F9726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146</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WARRINGTON UA</w:t>
            </w:r>
          </w:p>
        </w:tc>
        <w:tc>
          <w:tcPr>
            <w:tcW w:w="452" w:type="pct"/>
            <w:shd w:val="clear" w:color="000000" w:fill="FCAD78"/>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112</w:t>
            </w:r>
          </w:p>
        </w:tc>
        <w:tc>
          <w:tcPr>
            <w:tcW w:w="504" w:type="pct"/>
            <w:shd w:val="clear" w:color="000000" w:fill="FFE3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81</w:t>
            </w:r>
          </w:p>
        </w:tc>
        <w:tc>
          <w:tcPr>
            <w:tcW w:w="439" w:type="pct"/>
            <w:shd w:val="clear" w:color="000000" w:fill="FFE3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81</w:t>
            </w:r>
          </w:p>
        </w:tc>
        <w:tc>
          <w:tcPr>
            <w:tcW w:w="393" w:type="pct"/>
            <w:shd w:val="clear" w:color="000000" w:fill="F0E6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69</w:t>
            </w:r>
          </w:p>
        </w:tc>
        <w:tc>
          <w:tcPr>
            <w:tcW w:w="471" w:type="pct"/>
            <w:shd w:val="clear" w:color="000000" w:fill="FED2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91</w:t>
            </w:r>
          </w:p>
        </w:tc>
        <w:tc>
          <w:tcPr>
            <w:tcW w:w="457" w:type="pct"/>
            <w:shd w:val="clear" w:color="000000" w:fill="FCB27A"/>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109</w:t>
            </w:r>
          </w:p>
        </w:tc>
        <w:tc>
          <w:tcPr>
            <w:tcW w:w="447" w:type="pct"/>
            <w:shd w:val="clear" w:color="000000" w:fill="FA82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137</w:t>
            </w:r>
          </w:p>
        </w:tc>
        <w:tc>
          <w:tcPr>
            <w:tcW w:w="479" w:type="pct"/>
            <w:shd w:val="clear" w:color="000000" w:fill="FBA1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119</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WIGAN</w:t>
            </w:r>
          </w:p>
        </w:tc>
        <w:tc>
          <w:tcPr>
            <w:tcW w:w="452" w:type="pct"/>
            <w:shd w:val="clear" w:color="000000" w:fill="97CD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26</w:t>
            </w:r>
          </w:p>
        </w:tc>
        <w:tc>
          <w:tcPr>
            <w:tcW w:w="504" w:type="pct"/>
            <w:shd w:val="clear" w:color="000000" w:fill="79C4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w:t>
            </w:r>
          </w:p>
        </w:tc>
        <w:tc>
          <w:tcPr>
            <w:tcW w:w="439" w:type="pct"/>
            <w:shd w:val="clear" w:color="000000" w:fill="80C6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w:t>
            </w:r>
          </w:p>
        </w:tc>
        <w:tc>
          <w:tcPr>
            <w:tcW w:w="393" w:type="pct"/>
            <w:shd w:val="clear" w:color="000000" w:fill="9BCE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28</w:t>
            </w:r>
          </w:p>
        </w:tc>
        <w:tc>
          <w:tcPr>
            <w:tcW w:w="471" w:type="pct"/>
            <w:shd w:val="clear" w:color="000000" w:fill="A1D0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31</w:t>
            </w:r>
          </w:p>
        </w:tc>
        <w:tc>
          <w:tcPr>
            <w:tcW w:w="457" w:type="pct"/>
            <w:shd w:val="clear" w:color="000000" w:fill="C0D9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46</w:t>
            </w:r>
          </w:p>
        </w:tc>
        <w:tc>
          <w:tcPr>
            <w:tcW w:w="447" w:type="pct"/>
            <w:shd w:val="clear" w:color="000000" w:fill="8ECA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22</w:t>
            </w:r>
          </w:p>
        </w:tc>
        <w:tc>
          <w:tcPr>
            <w:tcW w:w="479" w:type="pct"/>
            <w:shd w:val="clear" w:color="000000" w:fill="ADD3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37</w:t>
            </w:r>
          </w:p>
        </w:tc>
      </w:tr>
      <w:tr w:rsidR="0065074E" w:rsidRPr="009837A1" w:rsidTr="009837A1">
        <w:trPr>
          <w:trHeight w:val="170"/>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WIRRAL</w:t>
            </w:r>
          </w:p>
        </w:tc>
        <w:tc>
          <w:tcPr>
            <w:tcW w:w="452" w:type="pct"/>
            <w:shd w:val="clear" w:color="000000" w:fill="FFDE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84</w:t>
            </w:r>
          </w:p>
        </w:tc>
        <w:tc>
          <w:tcPr>
            <w:tcW w:w="504" w:type="pct"/>
            <w:shd w:val="clear" w:color="000000" w:fill="FDC0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101</w:t>
            </w:r>
          </w:p>
        </w:tc>
        <w:tc>
          <w:tcPr>
            <w:tcW w:w="439" w:type="pct"/>
            <w:shd w:val="clear" w:color="000000" w:fill="FB9C75"/>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122</w:t>
            </w:r>
          </w:p>
        </w:tc>
        <w:tc>
          <w:tcPr>
            <w:tcW w:w="393" w:type="pct"/>
            <w:shd w:val="clear" w:color="000000" w:fill="F2E7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70</w:t>
            </w:r>
          </w:p>
        </w:tc>
        <w:tc>
          <w:tcPr>
            <w:tcW w:w="471" w:type="pct"/>
            <w:shd w:val="clear" w:color="000000" w:fill="FDC4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99</w:t>
            </w:r>
          </w:p>
        </w:tc>
        <w:tc>
          <w:tcPr>
            <w:tcW w:w="457" w:type="pct"/>
            <w:shd w:val="clear" w:color="000000" w:fill="F4E8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71</w:t>
            </w:r>
          </w:p>
        </w:tc>
        <w:tc>
          <w:tcPr>
            <w:tcW w:w="447" w:type="pct"/>
            <w:shd w:val="clear" w:color="000000" w:fill="F2E7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70</w:t>
            </w:r>
          </w:p>
        </w:tc>
        <w:tc>
          <w:tcPr>
            <w:tcW w:w="479" w:type="pct"/>
            <w:shd w:val="clear" w:color="000000" w:fill="A9D2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35</w:t>
            </w:r>
          </w:p>
        </w:tc>
      </w:tr>
    </w:tbl>
    <w:p w:rsidR="0065074E" w:rsidRPr="009837A1" w:rsidRDefault="0065074E" w:rsidP="009837A1">
      <w:pPr>
        <w:spacing w:after="0" w:line="259" w:lineRule="auto"/>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771"/>
        <w:gridCol w:w="856"/>
        <w:gridCol w:w="754"/>
        <w:gridCol w:w="695"/>
        <w:gridCol w:w="795"/>
        <w:gridCol w:w="777"/>
        <w:gridCol w:w="764"/>
        <w:gridCol w:w="805"/>
      </w:tblGrid>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color w:val="auto"/>
                <w:sz w:val="20"/>
                <w:szCs w:val="20"/>
                <w:lang w:eastAsia="en-GB"/>
              </w:rPr>
            </w:pPr>
          </w:p>
        </w:tc>
        <w:tc>
          <w:tcPr>
            <w:tcW w:w="3642" w:type="pct"/>
            <w:gridSpan w:val="8"/>
            <w:shd w:val="clear" w:color="000000" w:fill="FFFF00"/>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Rank Social Care per day per 100,000 18+ population</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Local Authority Name</w:t>
            </w:r>
          </w:p>
        </w:tc>
        <w:tc>
          <w:tcPr>
            <w:tcW w:w="452"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Apr-17</w:t>
            </w:r>
          </w:p>
        </w:tc>
        <w:tc>
          <w:tcPr>
            <w:tcW w:w="504"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May-17</w:t>
            </w:r>
          </w:p>
        </w:tc>
        <w:tc>
          <w:tcPr>
            <w:tcW w:w="439"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Jun-17</w:t>
            </w:r>
          </w:p>
        </w:tc>
        <w:tc>
          <w:tcPr>
            <w:tcW w:w="393"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Jul-17</w:t>
            </w:r>
          </w:p>
        </w:tc>
        <w:tc>
          <w:tcPr>
            <w:tcW w:w="471"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Aug-17</w:t>
            </w:r>
          </w:p>
        </w:tc>
        <w:tc>
          <w:tcPr>
            <w:tcW w:w="457"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Sep-17</w:t>
            </w:r>
          </w:p>
        </w:tc>
        <w:tc>
          <w:tcPr>
            <w:tcW w:w="447"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Oct-17</w:t>
            </w:r>
          </w:p>
        </w:tc>
        <w:tc>
          <w:tcPr>
            <w:tcW w:w="479" w:type="pct"/>
            <w:shd w:val="clear" w:color="auto" w:fill="auto"/>
            <w:noWrap/>
            <w:vAlign w:val="bottom"/>
            <w:hideMark/>
          </w:tcPr>
          <w:p w:rsidR="0065074E" w:rsidRPr="009837A1" w:rsidRDefault="0065074E" w:rsidP="009837A1">
            <w:pPr>
              <w:autoSpaceDE/>
              <w:autoSpaceDN/>
              <w:adjustRightInd/>
              <w:spacing w:after="0"/>
              <w:jc w:val="center"/>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Nov-17</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BLACKBURN WITH DARWEN UA</w:t>
            </w:r>
          </w:p>
        </w:tc>
        <w:tc>
          <w:tcPr>
            <w:tcW w:w="452" w:type="pct"/>
            <w:shd w:val="clear" w:color="000000" w:fill="FCA3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118</w:t>
            </w:r>
          </w:p>
        </w:tc>
        <w:tc>
          <w:tcPr>
            <w:tcW w:w="504" w:type="pct"/>
            <w:shd w:val="clear" w:color="000000" w:fill="FA8C7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131</w:t>
            </w:r>
          </w:p>
        </w:tc>
        <w:tc>
          <w:tcPr>
            <w:tcW w:w="439" w:type="pct"/>
            <w:shd w:val="clear" w:color="000000" w:fill="FCB179"/>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110</w:t>
            </w:r>
          </w:p>
        </w:tc>
        <w:tc>
          <w:tcPr>
            <w:tcW w:w="393" w:type="pct"/>
            <w:shd w:val="clear" w:color="000000" w:fill="FDC0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101</w:t>
            </w:r>
          </w:p>
        </w:tc>
        <w:tc>
          <w:tcPr>
            <w:tcW w:w="471" w:type="pct"/>
            <w:shd w:val="clear" w:color="000000" w:fill="FCA4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117</w:t>
            </w:r>
          </w:p>
        </w:tc>
        <w:tc>
          <w:tcPr>
            <w:tcW w:w="457" w:type="pct"/>
            <w:shd w:val="clear" w:color="000000" w:fill="FDB47A"/>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108</w:t>
            </w:r>
          </w:p>
        </w:tc>
        <w:tc>
          <w:tcPr>
            <w:tcW w:w="447" w:type="pct"/>
            <w:shd w:val="clear" w:color="000000" w:fill="F2E7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70</w:t>
            </w:r>
          </w:p>
        </w:tc>
        <w:tc>
          <w:tcPr>
            <w:tcW w:w="479" w:type="pct"/>
            <w:shd w:val="clear" w:color="000000" w:fill="FFE1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82</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BLACKPOOL UA</w:t>
            </w:r>
          </w:p>
        </w:tc>
        <w:tc>
          <w:tcPr>
            <w:tcW w:w="452" w:type="pct"/>
            <w:shd w:val="clear" w:color="000000" w:fill="FDBE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102</w:t>
            </w:r>
          </w:p>
        </w:tc>
        <w:tc>
          <w:tcPr>
            <w:tcW w:w="504" w:type="pct"/>
            <w:shd w:val="clear" w:color="000000" w:fill="FCA4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117</w:t>
            </w:r>
          </w:p>
        </w:tc>
        <w:tc>
          <w:tcPr>
            <w:tcW w:w="439" w:type="pct"/>
            <w:shd w:val="clear" w:color="000000" w:fill="FCAA78"/>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114</w:t>
            </w:r>
          </w:p>
        </w:tc>
        <w:tc>
          <w:tcPr>
            <w:tcW w:w="393" w:type="pct"/>
            <w:shd w:val="clear" w:color="000000" w:fill="FB98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124</w:t>
            </w:r>
          </w:p>
        </w:tc>
        <w:tc>
          <w:tcPr>
            <w:tcW w:w="471" w:type="pct"/>
            <w:shd w:val="clear" w:color="000000" w:fill="FDC5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98</w:t>
            </w:r>
          </w:p>
        </w:tc>
        <w:tc>
          <w:tcPr>
            <w:tcW w:w="457" w:type="pct"/>
            <w:shd w:val="clear" w:color="000000" w:fill="FB937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127</w:t>
            </w:r>
          </w:p>
        </w:tc>
        <w:tc>
          <w:tcPr>
            <w:tcW w:w="447" w:type="pct"/>
            <w:shd w:val="clear" w:color="000000" w:fill="FB937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127</w:t>
            </w:r>
          </w:p>
        </w:tc>
        <w:tc>
          <w:tcPr>
            <w:tcW w:w="479" w:type="pct"/>
            <w:shd w:val="clear" w:color="000000" w:fill="FA83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136</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BOLTON</w:t>
            </w:r>
          </w:p>
        </w:tc>
        <w:tc>
          <w:tcPr>
            <w:tcW w:w="452" w:type="pct"/>
            <w:shd w:val="clear" w:color="000000" w:fill="FCA6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116</w:t>
            </w:r>
          </w:p>
        </w:tc>
        <w:tc>
          <w:tcPr>
            <w:tcW w:w="504" w:type="pct"/>
            <w:shd w:val="clear" w:color="000000" w:fill="FDBD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103</w:t>
            </w:r>
          </w:p>
        </w:tc>
        <w:tc>
          <w:tcPr>
            <w:tcW w:w="439" w:type="pct"/>
            <w:shd w:val="clear" w:color="000000" w:fill="D9E0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58</w:t>
            </w:r>
          </w:p>
        </w:tc>
        <w:tc>
          <w:tcPr>
            <w:tcW w:w="393" w:type="pct"/>
            <w:shd w:val="clear" w:color="000000" w:fill="F4E8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71</w:t>
            </w:r>
          </w:p>
        </w:tc>
        <w:tc>
          <w:tcPr>
            <w:tcW w:w="471" w:type="pct"/>
            <w:shd w:val="clear" w:color="000000" w:fill="EEE6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68</w:t>
            </w:r>
          </w:p>
        </w:tc>
        <w:tc>
          <w:tcPr>
            <w:tcW w:w="457" w:type="pct"/>
            <w:shd w:val="clear" w:color="000000" w:fill="FDC4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99</w:t>
            </w:r>
          </w:p>
        </w:tc>
        <w:tc>
          <w:tcPr>
            <w:tcW w:w="447" w:type="pct"/>
            <w:shd w:val="clear" w:color="000000" w:fill="FDC4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99</w:t>
            </w:r>
          </w:p>
        </w:tc>
        <w:tc>
          <w:tcPr>
            <w:tcW w:w="479" w:type="pct"/>
            <w:shd w:val="clear" w:color="000000" w:fill="FFDF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83</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BURY</w:t>
            </w:r>
          </w:p>
        </w:tc>
        <w:tc>
          <w:tcPr>
            <w:tcW w:w="452" w:type="pct"/>
            <w:shd w:val="clear" w:color="000000" w:fill="F97B6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141</w:t>
            </w:r>
          </w:p>
        </w:tc>
        <w:tc>
          <w:tcPr>
            <w:tcW w:w="504" w:type="pct"/>
            <w:shd w:val="clear" w:color="000000" w:fill="FEC9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96</w:t>
            </w:r>
          </w:p>
        </w:tc>
        <w:tc>
          <w:tcPr>
            <w:tcW w:w="439" w:type="pct"/>
            <w:shd w:val="clear" w:color="000000" w:fill="FB9A75"/>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123</w:t>
            </w:r>
          </w:p>
        </w:tc>
        <w:tc>
          <w:tcPr>
            <w:tcW w:w="393" w:type="pct"/>
            <w:shd w:val="clear" w:color="000000" w:fill="F9746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145</w:t>
            </w:r>
          </w:p>
        </w:tc>
        <w:tc>
          <w:tcPr>
            <w:tcW w:w="471" w:type="pct"/>
            <w:shd w:val="clear" w:color="000000" w:fill="FA897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133</w:t>
            </w:r>
          </w:p>
        </w:tc>
        <w:tc>
          <w:tcPr>
            <w:tcW w:w="457" w:type="pct"/>
            <w:shd w:val="clear" w:color="000000" w:fill="F9776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143</w:t>
            </w:r>
          </w:p>
        </w:tc>
        <w:tc>
          <w:tcPr>
            <w:tcW w:w="447" w:type="pct"/>
            <w:shd w:val="clear" w:color="000000" w:fill="F9726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146</w:t>
            </w:r>
          </w:p>
        </w:tc>
        <w:tc>
          <w:tcPr>
            <w:tcW w:w="479" w:type="pct"/>
            <w:shd w:val="clear" w:color="000000" w:fill="F9746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145</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CHESHIRE EAST</w:t>
            </w:r>
          </w:p>
        </w:tc>
        <w:tc>
          <w:tcPr>
            <w:tcW w:w="452" w:type="pct"/>
            <w:shd w:val="clear" w:color="000000" w:fill="FCB27A"/>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109</w:t>
            </w:r>
          </w:p>
        </w:tc>
        <w:tc>
          <w:tcPr>
            <w:tcW w:w="504" w:type="pct"/>
            <w:shd w:val="clear" w:color="000000" w:fill="FDB47A"/>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108</w:t>
            </w:r>
          </w:p>
        </w:tc>
        <w:tc>
          <w:tcPr>
            <w:tcW w:w="439" w:type="pct"/>
            <w:shd w:val="clear" w:color="000000" w:fill="FDBE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102</w:t>
            </w:r>
          </w:p>
        </w:tc>
        <w:tc>
          <w:tcPr>
            <w:tcW w:w="393" w:type="pct"/>
            <w:shd w:val="clear" w:color="000000" w:fill="FCAA78"/>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114</w:t>
            </w:r>
          </w:p>
        </w:tc>
        <w:tc>
          <w:tcPr>
            <w:tcW w:w="471" w:type="pct"/>
            <w:shd w:val="clear" w:color="000000" w:fill="FED0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92</w:t>
            </w:r>
          </w:p>
        </w:tc>
        <w:tc>
          <w:tcPr>
            <w:tcW w:w="457" w:type="pct"/>
            <w:shd w:val="clear" w:color="000000" w:fill="FCA8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115</w:t>
            </w:r>
          </w:p>
        </w:tc>
        <w:tc>
          <w:tcPr>
            <w:tcW w:w="447" w:type="pct"/>
            <w:shd w:val="clear" w:color="000000" w:fill="FECB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95</w:t>
            </w:r>
          </w:p>
        </w:tc>
        <w:tc>
          <w:tcPr>
            <w:tcW w:w="479" w:type="pct"/>
            <w:shd w:val="clear" w:color="000000" w:fill="FED8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87</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CHESHIRE WEST AND CHESTER</w:t>
            </w:r>
          </w:p>
        </w:tc>
        <w:tc>
          <w:tcPr>
            <w:tcW w:w="452" w:type="pct"/>
            <w:shd w:val="clear" w:color="000000" w:fill="FB98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124</w:t>
            </w:r>
          </w:p>
        </w:tc>
        <w:tc>
          <w:tcPr>
            <w:tcW w:w="504" w:type="pct"/>
            <w:shd w:val="clear" w:color="000000" w:fill="FED7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88</w:t>
            </w:r>
          </w:p>
        </w:tc>
        <w:tc>
          <w:tcPr>
            <w:tcW w:w="439" w:type="pct"/>
            <w:shd w:val="clear" w:color="000000" w:fill="FA7E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139</w:t>
            </w:r>
          </w:p>
        </w:tc>
        <w:tc>
          <w:tcPr>
            <w:tcW w:w="393" w:type="pct"/>
            <w:shd w:val="clear" w:color="000000" w:fill="FB9F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120</w:t>
            </w:r>
          </w:p>
        </w:tc>
        <w:tc>
          <w:tcPr>
            <w:tcW w:w="471" w:type="pct"/>
            <w:shd w:val="clear" w:color="000000" w:fill="FB9A75"/>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123</w:t>
            </w:r>
          </w:p>
        </w:tc>
        <w:tc>
          <w:tcPr>
            <w:tcW w:w="457" w:type="pct"/>
            <w:shd w:val="clear" w:color="000000" w:fill="FCB179"/>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110</w:t>
            </w:r>
          </w:p>
        </w:tc>
        <w:tc>
          <w:tcPr>
            <w:tcW w:w="447" w:type="pct"/>
            <w:shd w:val="clear" w:color="000000" w:fill="FED2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91</w:t>
            </w:r>
          </w:p>
        </w:tc>
        <w:tc>
          <w:tcPr>
            <w:tcW w:w="479" w:type="pct"/>
            <w:shd w:val="clear" w:color="000000" w:fill="FA8E7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130</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CUMBRIA</w:t>
            </w:r>
          </w:p>
        </w:tc>
        <w:tc>
          <w:tcPr>
            <w:tcW w:w="452"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c>
          <w:tcPr>
            <w:tcW w:w="504"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c>
          <w:tcPr>
            <w:tcW w:w="439"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c>
          <w:tcPr>
            <w:tcW w:w="393" w:type="pct"/>
            <w:shd w:val="clear" w:color="000000" w:fill="F96B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150</w:t>
            </w:r>
          </w:p>
        </w:tc>
        <w:tc>
          <w:tcPr>
            <w:tcW w:w="471"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c>
          <w:tcPr>
            <w:tcW w:w="457"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c>
          <w:tcPr>
            <w:tcW w:w="447" w:type="pct"/>
            <w:shd w:val="clear" w:color="000000" w:fill="F96B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150</w:t>
            </w:r>
          </w:p>
        </w:tc>
        <w:tc>
          <w:tcPr>
            <w:tcW w:w="479" w:type="pct"/>
            <w:shd w:val="clear" w:color="000000" w:fill="F96D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149</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HALTON UA</w:t>
            </w:r>
          </w:p>
        </w:tc>
        <w:tc>
          <w:tcPr>
            <w:tcW w:w="452" w:type="pct"/>
            <w:shd w:val="clear" w:color="000000" w:fill="CDDC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52</w:t>
            </w:r>
          </w:p>
        </w:tc>
        <w:tc>
          <w:tcPr>
            <w:tcW w:w="504" w:type="pct"/>
            <w:shd w:val="clear" w:color="000000" w:fill="E3E3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63</w:t>
            </w:r>
          </w:p>
        </w:tc>
        <w:tc>
          <w:tcPr>
            <w:tcW w:w="439" w:type="pct"/>
            <w:shd w:val="clear" w:color="000000" w:fill="ECE5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67</w:t>
            </w:r>
          </w:p>
        </w:tc>
        <w:tc>
          <w:tcPr>
            <w:tcW w:w="393" w:type="pct"/>
            <w:shd w:val="clear" w:color="000000" w:fill="D3DE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55</w:t>
            </w:r>
          </w:p>
        </w:tc>
        <w:tc>
          <w:tcPr>
            <w:tcW w:w="471" w:type="pct"/>
            <w:shd w:val="clear" w:color="000000" w:fill="CDDC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52</w:t>
            </w:r>
          </w:p>
        </w:tc>
        <w:tc>
          <w:tcPr>
            <w:tcW w:w="457" w:type="pct"/>
            <w:shd w:val="clear" w:color="000000" w:fill="FED3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90</w:t>
            </w:r>
          </w:p>
        </w:tc>
        <w:tc>
          <w:tcPr>
            <w:tcW w:w="447" w:type="pct"/>
            <w:shd w:val="clear" w:color="000000" w:fill="CFDD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53</w:t>
            </w:r>
          </w:p>
        </w:tc>
        <w:tc>
          <w:tcPr>
            <w:tcW w:w="479" w:type="pct"/>
            <w:shd w:val="clear" w:color="000000" w:fill="ABD3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36</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KNOWSLEY</w:t>
            </w:r>
          </w:p>
        </w:tc>
        <w:tc>
          <w:tcPr>
            <w:tcW w:w="452" w:type="pct"/>
            <w:shd w:val="clear" w:color="000000" w:fill="FFE5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80</w:t>
            </w:r>
          </w:p>
        </w:tc>
        <w:tc>
          <w:tcPr>
            <w:tcW w:w="504" w:type="pct"/>
            <w:shd w:val="clear" w:color="000000" w:fill="DDE1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60</w:t>
            </w:r>
          </w:p>
        </w:tc>
        <w:tc>
          <w:tcPr>
            <w:tcW w:w="439" w:type="pct"/>
            <w:shd w:val="clear" w:color="000000" w:fill="E1E2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62</w:t>
            </w:r>
          </w:p>
        </w:tc>
        <w:tc>
          <w:tcPr>
            <w:tcW w:w="393" w:type="pct"/>
            <w:shd w:val="clear" w:color="000000" w:fill="BCD7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44</w:t>
            </w:r>
          </w:p>
        </w:tc>
        <w:tc>
          <w:tcPr>
            <w:tcW w:w="471" w:type="pct"/>
            <w:shd w:val="clear" w:color="000000" w:fill="F0E6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69</w:t>
            </w:r>
          </w:p>
        </w:tc>
        <w:tc>
          <w:tcPr>
            <w:tcW w:w="457" w:type="pct"/>
            <w:shd w:val="clear" w:color="000000" w:fill="FFE1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82</w:t>
            </w:r>
          </w:p>
        </w:tc>
        <w:tc>
          <w:tcPr>
            <w:tcW w:w="447" w:type="pct"/>
            <w:shd w:val="clear" w:color="000000" w:fill="F8E9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73</w:t>
            </w:r>
          </w:p>
        </w:tc>
        <w:tc>
          <w:tcPr>
            <w:tcW w:w="479" w:type="pct"/>
            <w:shd w:val="clear" w:color="000000" w:fill="C8DB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50</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LANCASHIRE</w:t>
            </w:r>
          </w:p>
        </w:tc>
        <w:tc>
          <w:tcPr>
            <w:tcW w:w="452" w:type="pct"/>
            <w:shd w:val="clear" w:color="000000" w:fill="FB9A75"/>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123</w:t>
            </w:r>
          </w:p>
        </w:tc>
        <w:tc>
          <w:tcPr>
            <w:tcW w:w="504" w:type="pct"/>
            <w:shd w:val="clear" w:color="000000" w:fill="FA80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138</w:t>
            </w:r>
          </w:p>
        </w:tc>
        <w:tc>
          <w:tcPr>
            <w:tcW w:w="439" w:type="pct"/>
            <w:shd w:val="clear" w:color="000000" w:fill="FA897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133</w:t>
            </w:r>
          </w:p>
        </w:tc>
        <w:tc>
          <w:tcPr>
            <w:tcW w:w="393" w:type="pct"/>
            <w:shd w:val="clear" w:color="000000" w:fill="FA80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138</w:t>
            </w:r>
          </w:p>
        </w:tc>
        <w:tc>
          <w:tcPr>
            <w:tcW w:w="471" w:type="pct"/>
            <w:shd w:val="clear" w:color="000000" w:fill="FB937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127</w:t>
            </w:r>
          </w:p>
        </w:tc>
        <w:tc>
          <w:tcPr>
            <w:tcW w:w="457" w:type="pct"/>
            <w:shd w:val="clear" w:color="000000" w:fill="FA8C7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131</w:t>
            </w:r>
          </w:p>
        </w:tc>
        <w:tc>
          <w:tcPr>
            <w:tcW w:w="447" w:type="pct"/>
            <w:shd w:val="clear" w:color="000000" w:fill="FB907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129</w:t>
            </w:r>
          </w:p>
        </w:tc>
        <w:tc>
          <w:tcPr>
            <w:tcW w:w="479" w:type="pct"/>
            <w:shd w:val="clear" w:color="000000" w:fill="FA8A7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132</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LIVERPOOL</w:t>
            </w:r>
          </w:p>
        </w:tc>
        <w:tc>
          <w:tcPr>
            <w:tcW w:w="452" w:type="pct"/>
            <w:shd w:val="clear" w:color="000000" w:fill="FFEB8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76</w:t>
            </w:r>
          </w:p>
        </w:tc>
        <w:tc>
          <w:tcPr>
            <w:tcW w:w="504" w:type="pct"/>
            <w:shd w:val="clear" w:color="000000" w:fill="FFEB8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76</w:t>
            </w:r>
          </w:p>
        </w:tc>
        <w:tc>
          <w:tcPr>
            <w:tcW w:w="439" w:type="pct"/>
            <w:shd w:val="clear" w:color="000000" w:fill="FDBB7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104</w:t>
            </w:r>
          </w:p>
        </w:tc>
        <w:tc>
          <w:tcPr>
            <w:tcW w:w="393" w:type="pct"/>
            <w:shd w:val="clear" w:color="000000" w:fill="FEC9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96</w:t>
            </w:r>
          </w:p>
        </w:tc>
        <w:tc>
          <w:tcPr>
            <w:tcW w:w="471" w:type="pct"/>
            <w:shd w:val="clear" w:color="000000" w:fill="FCA8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115</w:t>
            </w:r>
          </w:p>
        </w:tc>
        <w:tc>
          <w:tcPr>
            <w:tcW w:w="457" w:type="pct"/>
            <w:shd w:val="clear" w:color="000000" w:fill="FDB87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106</w:t>
            </w:r>
          </w:p>
        </w:tc>
        <w:tc>
          <w:tcPr>
            <w:tcW w:w="447" w:type="pct"/>
            <w:shd w:val="clear" w:color="000000" w:fill="FDC5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98</w:t>
            </w:r>
          </w:p>
        </w:tc>
        <w:tc>
          <w:tcPr>
            <w:tcW w:w="479" w:type="pct"/>
            <w:shd w:val="clear" w:color="000000" w:fill="FB95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126</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MANCHESTER</w:t>
            </w:r>
          </w:p>
        </w:tc>
        <w:tc>
          <w:tcPr>
            <w:tcW w:w="452" w:type="pct"/>
            <w:shd w:val="clear" w:color="000000" w:fill="FB95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126</w:t>
            </w:r>
          </w:p>
        </w:tc>
        <w:tc>
          <w:tcPr>
            <w:tcW w:w="504" w:type="pct"/>
            <w:shd w:val="clear" w:color="000000" w:fill="FBA1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119</w:t>
            </w:r>
          </w:p>
        </w:tc>
        <w:tc>
          <w:tcPr>
            <w:tcW w:w="439" w:type="pct"/>
            <w:shd w:val="clear" w:color="000000" w:fill="FCA4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117</w:t>
            </w:r>
          </w:p>
        </w:tc>
        <w:tc>
          <w:tcPr>
            <w:tcW w:w="393" w:type="pct"/>
            <w:shd w:val="clear" w:color="000000" w:fill="FCAF79"/>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111</w:t>
            </w:r>
          </w:p>
        </w:tc>
        <w:tc>
          <w:tcPr>
            <w:tcW w:w="471" w:type="pct"/>
            <w:shd w:val="clear" w:color="000000" w:fill="FB97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125</w:t>
            </w:r>
          </w:p>
        </w:tc>
        <w:tc>
          <w:tcPr>
            <w:tcW w:w="457" w:type="pct"/>
            <w:shd w:val="clear" w:color="000000" w:fill="FB917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128</w:t>
            </w:r>
          </w:p>
        </w:tc>
        <w:tc>
          <w:tcPr>
            <w:tcW w:w="447" w:type="pct"/>
            <w:shd w:val="clear" w:color="000000" w:fill="F97B6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141</w:t>
            </w:r>
          </w:p>
        </w:tc>
        <w:tc>
          <w:tcPr>
            <w:tcW w:w="479" w:type="pct"/>
            <w:shd w:val="clear" w:color="000000" w:fill="FA82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137</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OLDHAM</w:t>
            </w:r>
          </w:p>
        </w:tc>
        <w:tc>
          <w:tcPr>
            <w:tcW w:w="452" w:type="pct"/>
            <w:shd w:val="clear" w:color="000000" w:fill="FFE1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82</w:t>
            </w:r>
          </w:p>
        </w:tc>
        <w:tc>
          <w:tcPr>
            <w:tcW w:w="504" w:type="pct"/>
            <w:shd w:val="clear" w:color="000000" w:fill="F6E8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72</w:t>
            </w:r>
          </w:p>
        </w:tc>
        <w:tc>
          <w:tcPr>
            <w:tcW w:w="439" w:type="pct"/>
            <w:shd w:val="clear" w:color="000000" w:fill="77C47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w:t>
            </w:r>
          </w:p>
        </w:tc>
        <w:tc>
          <w:tcPr>
            <w:tcW w:w="393" w:type="pct"/>
            <w:shd w:val="clear" w:color="000000" w:fill="BED8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45</w:t>
            </w:r>
          </w:p>
        </w:tc>
        <w:tc>
          <w:tcPr>
            <w:tcW w:w="471" w:type="pct"/>
            <w:shd w:val="clear" w:color="000000" w:fill="E3E3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63</w:t>
            </w:r>
          </w:p>
        </w:tc>
        <w:tc>
          <w:tcPr>
            <w:tcW w:w="457" w:type="pct"/>
            <w:shd w:val="clear" w:color="000000" w:fill="DBE0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59</w:t>
            </w:r>
          </w:p>
        </w:tc>
        <w:tc>
          <w:tcPr>
            <w:tcW w:w="447" w:type="pct"/>
            <w:shd w:val="clear" w:color="000000" w:fill="C4DA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48</w:t>
            </w:r>
          </w:p>
        </w:tc>
        <w:tc>
          <w:tcPr>
            <w:tcW w:w="479" w:type="pct"/>
            <w:shd w:val="clear" w:color="000000" w:fill="F6E8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72</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ROCHDALE</w:t>
            </w:r>
          </w:p>
        </w:tc>
        <w:tc>
          <w:tcPr>
            <w:tcW w:w="452" w:type="pct"/>
            <w:shd w:val="clear" w:color="000000" w:fill="6DC17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w:t>
            </w:r>
          </w:p>
        </w:tc>
        <w:tc>
          <w:tcPr>
            <w:tcW w:w="504" w:type="pct"/>
            <w:shd w:val="clear" w:color="000000" w:fill="6DC17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w:t>
            </w:r>
          </w:p>
        </w:tc>
        <w:tc>
          <w:tcPr>
            <w:tcW w:w="439" w:type="pct"/>
            <w:shd w:val="clear" w:color="000000" w:fill="9BCE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28</w:t>
            </w:r>
          </w:p>
        </w:tc>
        <w:tc>
          <w:tcPr>
            <w:tcW w:w="393" w:type="pct"/>
            <w:shd w:val="clear" w:color="000000" w:fill="CFDD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53</w:t>
            </w:r>
          </w:p>
        </w:tc>
        <w:tc>
          <w:tcPr>
            <w:tcW w:w="471" w:type="pct"/>
            <w:shd w:val="clear" w:color="000000" w:fill="C0D9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46</w:t>
            </w:r>
          </w:p>
        </w:tc>
        <w:tc>
          <w:tcPr>
            <w:tcW w:w="457" w:type="pct"/>
            <w:shd w:val="clear" w:color="000000" w:fill="C4DA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48</w:t>
            </w:r>
          </w:p>
        </w:tc>
        <w:tc>
          <w:tcPr>
            <w:tcW w:w="447" w:type="pct"/>
            <w:shd w:val="clear" w:color="000000" w:fill="ECE5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67</w:t>
            </w:r>
          </w:p>
        </w:tc>
        <w:tc>
          <w:tcPr>
            <w:tcW w:w="479" w:type="pct"/>
            <w:shd w:val="clear" w:color="000000" w:fill="FED3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90</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SALFORD</w:t>
            </w:r>
          </w:p>
        </w:tc>
        <w:tc>
          <w:tcPr>
            <w:tcW w:w="452" w:type="pct"/>
            <w:shd w:val="clear" w:color="000000" w:fill="94CC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25</w:t>
            </w:r>
          </w:p>
        </w:tc>
        <w:tc>
          <w:tcPr>
            <w:tcW w:w="504" w:type="pct"/>
            <w:shd w:val="clear" w:color="000000" w:fill="90CB7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23</w:t>
            </w:r>
          </w:p>
        </w:tc>
        <w:tc>
          <w:tcPr>
            <w:tcW w:w="439" w:type="pct"/>
            <w:shd w:val="clear" w:color="000000" w:fill="C0D9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46</w:t>
            </w:r>
          </w:p>
        </w:tc>
        <w:tc>
          <w:tcPr>
            <w:tcW w:w="393" w:type="pct"/>
            <w:shd w:val="clear" w:color="000000" w:fill="E3E3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63</w:t>
            </w:r>
          </w:p>
        </w:tc>
        <w:tc>
          <w:tcPr>
            <w:tcW w:w="471" w:type="pct"/>
            <w:shd w:val="clear" w:color="000000" w:fill="DDE1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60</w:t>
            </w:r>
          </w:p>
        </w:tc>
        <w:tc>
          <w:tcPr>
            <w:tcW w:w="457" w:type="pct"/>
            <w:shd w:val="clear" w:color="000000" w:fill="FFE88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78</w:t>
            </w:r>
          </w:p>
        </w:tc>
        <w:tc>
          <w:tcPr>
            <w:tcW w:w="447" w:type="pct"/>
            <w:shd w:val="clear" w:color="000000" w:fill="EAE5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66</w:t>
            </w:r>
          </w:p>
        </w:tc>
        <w:tc>
          <w:tcPr>
            <w:tcW w:w="479" w:type="pct"/>
            <w:shd w:val="clear" w:color="000000" w:fill="EAE5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66</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SEFTON</w:t>
            </w:r>
          </w:p>
        </w:tc>
        <w:tc>
          <w:tcPr>
            <w:tcW w:w="452" w:type="pct"/>
            <w:shd w:val="clear" w:color="000000" w:fill="F0E6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69</w:t>
            </w:r>
          </w:p>
        </w:tc>
        <w:tc>
          <w:tcPr>
            <w:tcW w:w="504" w:type="pct"/>
            <w:shd w:val="clear" w:color="000000" w:fill="DFE2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61</w:t>
            </w:r>
          </w:p>
        </w:tc>
        <w:tc>
          <w:tcPr>
            <w:tcW w:w="439" w:type="pct"/>
            <w:shd w:val="clear" w:color="000000" w:fill="FFEA8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77</w:t>
            </w:r>
          </w:p>
        </w:tc>
        <w:tc>
          <w:tcPr>
            <w:tcW w:w="393" w:type="pct"/>
            <w:shd w:val="clear" w:color="000000" w:fill="FFE3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81</w:t>
            </w:r>
          </w:p>
        </w:tc>
        <w:tc>
          <w:tcPr>
            <w:tcW w:w="471" w:type="pct"/>
            <w:shd w:val="clear" w:color="000000" w:fill="FFE3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81</w:t>
            </w:r>
          </w:p>
        </w:tc>
        <w:tc>
          <w:tcPr>
            <w:tcW w:w="457" w:type="pct"/>
            <w:shd w:val="clear" w:color="000000" w:fill="AFD4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38</w:t>
            </w:r>
          </w:p>
        </w:tc>
        <w:tc>
          <w:tcPr>
            <w:tcW w:w="447" w:type="pct"/>
            <w:shd w:val="clear" w:color="000000" w:fill="BCD7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44</w:t>
            </w:r>
          </w:p>
        </w:tc>
        <w:tc>
          <w:tcPr>
            <w:tcW w:w="479" w:type="pct"/>
            <w:shd w:val="clear" w:color="000000" w:fill="FFDE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84</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ST HELENS</w:t>
            </w:r>
          </w:p>
        </w:tc>
        <w:tc>
          <w:tcPr>
            <w:tcW w:w="452" w:type="pct"/>
            <w:shd w:val="clear" w:color="000000" w:fill="B6D6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41</w:t>
            </w:r>
          </w:p>
        </w:tc>
        <w:tc>
          <w:tcPr>
            <w:tcW w:w="504" w:type="pct"/>
            <w:shd w:val="clear" w:color="000000" w:fill="AFD4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38</w:t>
            </w:r>
          </w:p>
        </w:tc>
        <w:tc>
          <w:tcPr>
            <w:tcW w:w="439" w:type="pct"/>
            <w:shd w:val="clear" w:color="000000" w:fill="C6DA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49</w:t>
            </w:r>
          </w:p>
        </w:tc>
        <w:tc>
          <w:tcPr>
            <w:tcW w:w="393" w:type="pct"/>
            <w:shd w:val="clear" w:color="000000" w:fill="FED2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91</w:t>
            </w:r>
          </w:p>
        </w:tc>
        <w:tc>
          <w:tcPr>
            <w:tcW w:w="471" w:type="pct"/>
            <w:shd w:val="clear" w:color="000000" w:fill="FFDA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86</w:t>
            </w:r>
          </w:p>
        </w:tc>
        <w:tc>
          <w:tcPr>
            <w:tcW w:w="457" w:type="pct"/>
            <w:shd w:val="clear" w:color="000000" w:fill="F4E883"/>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71</w:t>
            </w:r>
          </w:p>
        </w:tc>
        <w:tc>
          <w:tcPr>
            <w:tcW w:w="447" w:type="pct"/>
            <w:shd w:val="clear" w:color="000000" w:fill="E1E2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62</w:t>
            </w:r>
          </w:p>
        </w:tc>
        <w:tc>
          <w:tcPr>
            <w:tcW w:w="479" w:type="pct"/>
            <w:shd w:val="clear" w:color="000000" w:fill="E3E3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63</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STOCKPORT</w:t>
            </w:r>
          </w:p>
        </w:tc>
        <w:tc>
          <w:tcPr>
            <w:tcW w:w="452" w:type="pct"/>
            <w:shd w:val="clear" w:color="000000" w:fill="FA82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137</w:t>
            </w:r>
          </w:p>
        </w:tc>
        <w:tc>
          <w:tcPr>
            <w:tcW w:w="504" w:type="pct"/>
            <w:shd w:val="clear" w:color="000000" w:fill="F9796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142</w:t>
            </w:r>
          </w:p>
        </w:tc>
        <w:tc>
          <w:tcPr>
            <w:tcW w:w="439" w:type="pct"/>
            <w:shd w:val="clear" w:color="000000" w:fill="F9766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144</w:t>
            </w:r>
          </w:p>
        </w:tc>
        <w:tc>
          <w:tcPr>
            <w:tcW w:w="393" w:type="pct"/>
            <w:shd w:val="clear" w:color="000000" w:fill="F97B6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141</w:t>
            </w:r>
          </w:p>
        </w:tc>
        <w:tc>
          <w:tcPr>
            <w:tcW w:w="471" w:type="pct"/>
            <w:shd w:val="clear" w:color="000000" w:fill="F9796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142</w:t>
            </w:r>
          </w:p>
        </w:tc>
        <w:tc>
          <w:tcPr>
            <w:tcW w:w="457" w:type="pct"/>
            <w:shd w:val="clear" w:color="000000" w:fill="FA7E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139</w:t>
            </w:r>
          </w:p>
        </w:tc>
        <w:tc>
          <w:tcPr>
            <w:tcW w:w="447" w:type="pct"/>
            <w:shd w:val="clear" w:color="000000" w:fill="FA7E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139</w:t>
            </w:r>
          </w:p>
        </w:tc>
        <w:tc>
          <w:tcPr>
            <w:tcW w:w="479" w:type="pct"/>
            <w:shd w:val="clear" w:color="000000" w:fill="F9726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146</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TAMESIDE</w:t>
            </w:r>
          </w:p>
        </w:tc>
        <w:tc>
          <w:tcPr>
            <w:tcW w:w="452" w:type="pct"/>
            <w:shd w:val="clear" w:color="000000" w:fill="FCAA78"/>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114</w:t>
            </w:r>
          </w:p>
        </w:tc>
        <w:tc>
          <w:tcPr>
            <w:tcW w:w="504" w:type="pct"/>
            <w:shd w:val="clear" w:color="000000" w:fill="FA8A7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132</w:t>
            </w:r>
          </w:p>
        </w:tc>
        <w:tc>
          <w:tcPr>
            <w:tcW w:w="439" w:type="pct"/>
            <w:shd w:val="clear" w:color="000000" w:fill="FCA3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118</w:t>
            </w:r>
          </w:p>
        </w:tc>
        <w:tc>
          <w:tcPr>
            <w:tcW w:w="393" w:type="pct"/>
            <w:shd w:val="clear" w:color="000000" w:fill="F9796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142</w:t>
            </w:r>
          </w:p>
        </w:tc>
        <w:tc>
          <w:tcPr>
            <w:tcW w:w="471" w:type="pct"/>
            <w:shd w:val="clear" w:color="000000" w:fill="F9766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144</w:t>
            </w:r>
          </w:p>
        </w:tc>
        <w:tc>
          <w:tcPr>
            <w:tcW w:w="457" w:type="pct"/>
            <w:shd w:val="clear" w:color="000000" w:fill="FB9574"/>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126</w:t>
            </w:r>
          </w:p>
        </w:tc>
        <w:tc>
          <w:tcPr>
            <w:tcW w:w="447" w:type="pct"/>
            <w:shd w:val="clear" w:color="000000" w:fill="FA82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137</w:t>
            </w:r>
          </w:p>
        </w:tc>
        <w:tc>
          <w:tcPr>
            <w:tcW w:w="479" w:type="pct"/>
            <w:shd w:val="clear" w:color="000000" w:fill="FA7D6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140</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TRAFFORD</w:t>
            </w:r>
          </w:p>
        </w:tc>
        <w:tc>
          <w:tcPr>
            <w:tcW w:w="452" w:type="pct"/>
            <w:shd w:val="clear" w:color="000000" w:fill="F96D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149</w:t>
            </w:r>
          </w:p>
        </w:tc>
        <w:tc>
          <w:tcPr>
            <w:tcW w:w="504" w:type="pct"/>
            <w:shd w:val="clear" w:color="000000" w:fill="F96F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148</w:t>
            </w:r>
          </w:p>
        </w:tc>
        <w:tc>
          <w:tcPr>
            <w:tcW w:w="439" w:type="pct"/>
            <w:shd w:val="clear" w:color="000000" w:fill="F9706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147</w:t>
            </w:r>
          </w:p>
        </w:tc>
        <w:tc>
          <w:tcPr>
            <w:tcW w:w="393" w:type="pct"/>
            <w:shd w:val="clear" w:color="000000" w:fill="F9706D"/>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147</w:t>
            </w:r>
          </w:p>
        </w:tc>
        <w:tc>
          <w:tcPr>
            <w:tcW w:w="471" w:type="pct"/>
            <w:shd w:val="clear" w:color="000000" w:fill="F96D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149</w:t>
            </w:r>
          </w:p>
        </w:tc>
        <w:tc>
          <w:tcPr>
            <w:tcW w:w="457" w:type="pct"/>
            <w:shd w:val="clear" w:color="000000" w:fill="F96B6C"/>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150</w:t>
            </w:r>
          </w:p>
        </w:tc>
        <w:tc>
          <w:tcPr>
            <w:tcW w:w="447"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c>
          <w:tcPr>
            <w:tcW w:w="479" w:type="pct"/>
            <w:shd w:val="clear" w:color="000000" w:fill="F8696B"/>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151</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WARRINGTON UA</w:t>
            </w:r>
          </w:p>
        </w:tc>
        <w:tc>
          <w:tcPr>
            <w:tcW w:w="452" w:type="pct"/>
            <w:shd w:val="clear" w:color="000000" w:fill="FFDE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84</w:t>
            </w:r>
          </w:p>
        </w:tc>
        <w:tc>
          <w:tcPr>
            <w:tcW w:w="504" w:type="pct"/>
            <w:shd w:val="clear" w:color="000000" w:fill="FFDA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86</w:t>
            </w:r>
          </w:p>
        </w:tc>
        <w:tc>
          <w:tcPr>
            <w:tcW w:w="439" w:type="pct"/>
            <w:shd w:val="clear" w:color="000000" w:fill="FCA877"/>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115</w:t>
            </w:r>
          </w:p>
        </w:tc>
        <w:tc>
          <w:tcPr>
            <w:tcW w:w="393" w:type="pct"/>
            <w:shd w:val="clear" w:color="000000" w:fill="FFDC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85</w:t>
            </w:r>
          </w:p>
        </w:tc>
        <w:tc>
          <w:tcPr>
            <w:tcW w:w="471" w:type="pct"/>
            <w:shd w:val="clear" w:color="000000" w:fill="FCB27A"/>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109</w:t>
            </w:r>
          </w:p>
        </w:tc>
        <w:tc>
          <w:tcPr>
            <w:tcW w:w="457" w:type="pct"/>
            <w:shd w:val="clear" w:color="000000" w:fill="FB9F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120</w:t>
            </w:r>
          </w:p>
        </w:tc>
        <w:tc>
          <w:tcPr>
            <w:tcW w:w="447" w:type="pct"/>
            <w:shd w:val="clear" w:color="000000" w:fill="FA837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136</w:t>
            </w:r>
          </w:p>
        </w:tc>
        <w:tc>
          <w:tcPr>
            <w:tcW w:w="479" w:type="pct"/>
            <w:shd w:val="clear" w:color="000000" w:fill="FA877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134</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WIGAN</w:t>
            </w:r>
          </w:p>
        </w:tc>
        <w:tc>
          <w:tcPr>
            <w:tcW w:w="452" w:type="pct"/>
            <w:shd w:val="clear" w:color="000000" w:fill="FED7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88</w:t>
            </w:r>
          </w:p>
        </w:tc>
        <w:tc>
          <w:tcPr>
            <w:tcW w:w="504" w:type="pct"/>
            <w:shd w:val="clear" w:color="000000" w:fill="BCD7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44</w:t>
            </w:r>
          </w:p>
        </w:tc>
        <w:tc>
          <w:tcPr>
            <w:tcW w:w="439" w:type="pct"/>
            <w:shd w:val="clear" w:color="000000" w:fill="ABD37F"/>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36</w:t>
            </w:r>
          </w:p>
        </w:tc>
        <w:tc>
          <w:tcPr>
            <w:tcW w:w="393" w:type="pct"/>
            <w:shd w:val="clear" w:color="000000" w:fill="D7DF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57</w:t>
            </w:r>
          </w:p>
        </w:tc>
        <w:tc>
          <w:tcPr>
            <w:tcW w:w="471" w:type="pct"/>
            <w:shd w:val="clear" w:color="000000" w:fill="FED5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89</w:t>
            </w:r>
          </w:p>
        </w:tc>
        <w:tc>
          <w:tcPr>
            <w:tcW w:w="457" w:type="pct"/>
            <w:shd w:val="clear" w:color="000000" w:fill="FED2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91</w:t>
            </w:r>
          </w:p>
        </w:tc>
        <w:tc>
          <w:tcPr>
            <w:tcW w:w="447" w:type="pct"/>
            <w:shd w:val="clear" w:color="000000" w:fill="DDE1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60</w:t>
            </w:r>
          </w:p>
        </w:tc>
        <w:tc>
          <w:tcPr>
            <w:tcW w:w="479" w:type="pct"/>
            <w:shd w:val="clear" w:color="000000" w:fill="E6E382"/>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64</w:t>
            </w:r>
          </w:p>
        </w:tc>
      </w:tr>
      <w:tr w:rsidR="0065074E" w:rsidRPr="009837A1" w:rsidTr="0065074E">
        <w:trPr>
          <w:trHeight w:val="113"/>
        </w:trPr>
        <w:tc>
          <w:tcPr>
            <w:tcW w:w="1358" w:type="pct"/>
            <w:shd w:val="clear" w:color="auto" w:fill="auto"/>
            <w:noWrap/>
            <w:vAlign w:val="bottom"/>
            <w:hideMark/>
          </w:tcPr>
          <w:p w:rsidR="0065074E" w:rsidRPr="009837A1" w:rsidRDefault="0065074E" w:rsidP="009837A1">
            <w:pPr>
              <w:autoSpaceDE/>
              <w:autoSpaceDN/>
              <w:adjustRightInd/>
              <w:spacing w:after="0"/>
              <w:jc w:val="lef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WIRRAL</w:t>
            </w:r>
          </w:p>
        </w:tc>
        <w:tc>
          <w:tcPr>
            <w:tcW w:w="452" w:type="pct"/>
            <w:shd w:val="clear" w:color="000000" w:fill="D1DD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54</w:t>
            </w:r>
          </w:p>
        </w:tc>
        <w:tc>
          <w:tcPr>
            <w:tcW w:w="504" w:type="pct"/>
            <w:shd w:val="clear" w:color="000000" w:fill="CDDC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52</w:t>
            </w:r>
          </w:p>
        </w:tc>
        <w:tc>
          <w:tcPr>
            <w:tcW w:w="439" w:type="pct"/>
            <w:shd w:val="clear" w:color="000000" w:fill="FECC7E"/>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94</w:t>
            </w:r>
          </w:p>
        </w:tc>
        <w:tc>
          <w:tcPr>
            <w:tcW w:w="393" w:type="pct"/>
            <w:shd w:val="clear" w:color="000000" w:fill="D5DF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56</w:t>
            </w:r>
          </w:p>
        </w:tc>
        <w:tc>
          <w:tcPr>
            <w:tcW w:w="471" w:type="pct"/>
            <w:shd w:val="clear" w:color="000000" w:fill="FCA3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118</w:t>
            </w:r>
          </w:p>
        </w:tc>
        <w:tc>
          <w:tcPr>
            <w:tcW w:w="457" w:type="pct"/>
            <w:shd w:val="clear" w:color="000000" w:fill="FCA376"/>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118</w:t>
            </w:r>
          </w:p>
        </w:tc>
        <w:tc>
          <w:tcPr>
            <w:tcW w:w="447" w:type="pct"/>
            <w:shd w:val="clear" w:color="000000" w:fill="FED580"/>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89</w:t>
            </w:r>
          </w:p>
        </w:tc>
        <w:tc>
          <w:tcPr>
            <w:tcW w:w="479" w:type="pct"/>
            <w:shd w:val="clear" w:color="000000" w:fill="CDDC81"/>
            <w:noWrap/>
            <w:vAlign w:val="bottom"/>
            <w:hideMark/>
          </w:tcPr>
          <w:p w:rsidR="0065074E" w:rsidRPr="009837A1" w:rsidRDefault="0065074E" w:rsidP="009837A1">
            <w:pPr>
              <w:autoSpaceDE/>
              <w:autoSpaceDN/>
              <w:adjustRightInd/>
              <w:spacing w:after="0"/>
              <w:jc w:val="right"/>
              <w:rPr>
                <w:rFonts w:asciiTheme="minorHAnsi" w:eastAsia="Times New Roman" w:hAnsiTheme="minorHAnsi" w:cs="Times New Roman"/>
                <w:sz w:val="20"/>
                <w:szCs w:val="20"/>
                <w:lang w:eastAsia="en-GB"/>
              </w:rPr>
            </w:pPr>
            <w:r w:rsidRPr="009837A1">
              <w:rPr>
                <w:rFonts w:asciiTheme="minorHAnsi" w:eastAsia="Times New Roman" w:hAnsiTheme="minorHAnsi" w:cs="Times New Roman"/>
                <w:sz w:val="20"/>
                <w:szCs w:val="20"/>
                <w:lang w:eastAsia="en-GB"/>
              </w:rPr>
              <w:t>52</w:t>
            </w:r>
          </w:p>
        </w:tc>
      </w:tr>
    </w:tbl>
    <w:p w:rsidR="00FE75DA" w:rsidRPr="009837A1" w:rsidRDefault="00FE75DA" w:rsidP="009837A1">
      <w:pPr>
        <w:pStyle w:val="BodyText"/>
        <w:spacing w:before="0" w:after="0"/>
        <w:jc w:val="left"/>
      </w:pPr>
    </w:p>
    <w:p w:rsidR="00D20769" w:rsidRPr="0098077F" w:rsidRDefault="00D20769" w:rsidP="009837A1">
      <w:pPr>
        <w:spacing w:after="160" w:line="259" w:lineRule="auto"/>
        <w:rPr>
          <w:rFonts w:cs="Arial"/>
          <w:b/>
        </w:rPr>
      </w:pPr>
      <w:r w:rsidRPr="009837A1">
        <w:rPr>
          <w:rFonts w:cs="Arial"/>
          <w:b/>
        </w:rPr>
        <w:t xml:space="preserve">Total DToC Bed </w:t>
      </w:r>
      <w:r w:rsidRPr="0098077F">
        <w:rPr>
          <w:rFonts w:cs="Arial"/>
          <w:b/>
        </w:rPr>
        <w:t>Days per 100,000 population aged 18+ (a lower score is best)</w:t>
      </w:r>
    </w:p>
    <w:p w:rsidR="00D20769" w:rsidRPr="0098077F" w:rsidRDefault="00D20769" w:rsidP="00D20769">
      <w:pPr>
        <w:spacing w:after="160" w:line="259" w:lineRule="auto"/>
        <w:rPr>
          <w:rFonts w:cs="Arial"/>
        </w:rPr>
      </w:pPr>
      <w:r w:rsidRPr="0098077F">
        <w:rPr>
          <w:rFonts w:cs="Arial"/>
        </w:rPr>
        <w:t xml:space="preserve">In </w:t>
      </w:r>
      <w:r w:rsidR="0098077F" w:rsidRPr="0098077F">
        <w:rPr>
          <w:rFonts w:cs="Arial"/>
        </w:rPr>
        <w:t>Nov</w:t>
      </w:r>
      <w:r w:rsidRPr="0098077F">
        <w:rPr>
          <w:rFonts w:cs="Arial"/>
        </w:rPr>
        <w:t>-17 Lancashire were 8</w:t>
      </w:r>
      <w:r w:rsidRPr="0098077F">
        <w:rPr>
          <w:rFonts w:cs="Arial"/>
          <w:vertAlign w:val="superscript"/>
        </w:rPr>
        <w:t>th</w:t>
      </w:r>
      <w:r w:rsidRPr="0098077F">
        <w:rPr>
          <w:rFonts w:cs="Arial"/>
        </w:rPr>
        <w:t xml:space="preserve"> highest out of 23 NW authorities for the total bed days per 100,000 population aged 18+.</w:t>
      </w:r>
    </w:p>
    <w:p w:rsidR="0098077F" w:rsidRPr="0098077F" w:rsidRDefault="0098077F" w:rsidP="00D20769">
      <w:pPr>
        <w:spacing w:after="160" w:line="259" w:lineRule="auto"/>
        <w:rPr>
          <w:rFonts w:cs="Arial"/>
        </w:rPr>
      </w:pPr>
      <w:r w:rsidRPr="0098077F">
        <w:rPr>
          <w:noProof/>
          <w:lang w:eastAsia="en-GB"/>
        </w:rPr>
        <w:drawing>
          <wp:inline distT="0" distB="0" distL="0" distR="0" wp14:anchorId="0D065BCD" wp14:editId="41B7330C">
            <wp:extent cx="5727700" cy="4120738"/>
            <wp:effectExtent l="0" t="0" r="6350" b="133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20769" w:rsidRPr="0098077F" w:rsidRDefault="00D20769" w:rsidP="00D20769">
      <w:pPr>
        <w:spacing w:after="160" w:line="259" w:lineRule="auto"/>
        <w:rPr>
          <w:rFonts w:cs="Arial"/>
        </w:rPr>
      </w:pPr>
      <w:r w:rsidRPr="0098077F">
        <w:rPr>
          <w:rFonts w:cs="Arial"/>
        </w:rPr>
        <w:t xml:space="preserve">In </w:t>
      </w:r>
      <w:r w:rsidR="0098077F" w:rsidRPr="0098077F">
        <w:rPr>
          <w:rFonts w:cs="Arial"/>
        </w:rPr>
        <w:t>Nov</w:t>
      </w:r>
      <w:r w:rsidRPr="0098077F">
        <w:rPr>
          <w:rFonts w:cs="Arial"/>
        </w:rPr>
        <w:t xml:space="preserve">-17 Lancashire were </w:t>
      </w:r>
      <w:r w:rsidR="0098077F" w:rsidRPr="0098077F">
        <w:rPr>
          <w:rFonts w:cs="Arial"/>
        </w:rPr>
        <w:t>4</w:t>
      </w:r>
      <w:r w:rsidRPr="0098077F">
        <w:rPr>
          <w:rFonts w:cs="Arial"/>
          <w:vertAlign w:val="superscript"/>
        </w:rPr>
        <w:t>th</w:t>
      </w:r>
      <w:r w:rsidRPr="0098077F">
        <w:rPr>
          <w:rFonts w:cs="Arial"/>
        </w:rPr>
        <w:t xml:space="preserve"> highest out of 16 comparator authorities for the total bed days per 100,000 population aged 18+.</w:t>
      </w:r>
    </w:p>
    <w:p w:rsidR="0098077F" w:rsidRPr="0098077F" w:rsidRDefault="0098077F" w:rsidP="00D20769">
      <w:pPr>
        <w:spacing w:after="160" w:line="259" w:lineRule="auto"/>
        <w:rPr>
          <w:rFonts w:cs="Arial"/>
        </w:rPr>
      </w:pPr>
      <w:r w:rsidRPr="0098077F">
        <w:rPr>
          <w:noProof/>
          <w:lang w:eastAsia="en-GB"/>
        </w:rPr>
        <w:drawing>
          <wp:inline distT="0" distB="0" distL="0" distR="0" wp14:anchorId="154E2764" wp14:editId="0CC2DD2A">
            <wp:extent cx="5727700" cy="3158836"/>
            <wp:effectExtent l="0" t="0" r="635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20769" w:rsidRPr="0098077F" w:rsidRDefault="00D20769" w:rsidP="00D20769">
      <w:pPr>
        <w:spacing w:after="160" w:line="259" w:lineRule="auto"/>
        <w:rPr>
          <w:rFonts w:cs="Arial"/>
          <w:b/>
        </w:rPr>
      </w:pPr>
      <w:r w:rsidRPr="0098077F">
        <w:rPr>
          <w:rFonts w:cs="Arial"/>
          <w:b/>
        </w:rPr>
        <w:t>Social Care DToC Bed Days pe</w:t>
      </w:r>
      <w:r w:rsidR="0098077F" w:rsidRPr="0098077F">
        <w:rPr>
          <w:rFonts w:cs="Arial"/>
          <w:b/>
        </w:rPr>
        <w:t>r 100,000 population aged 18+ (</w:t>
      </w:r>
      <w:r w:rsidRPr="0098077F">
        <w:rPr>
          <w:rFonts w:cs="Arial"/>
          <w:b/>
        </w:rPr>
        <w:t>lower is best)</w:t>
      </w:r>
    </w:p>
    <w:p w:rsidR="00D20769" w:rsidRPr="0098077F" w:rsidRDefault="00D20769" w:rsidP="00D20769">
      <w:pPr>
        <w:spacing w:after="160" w:line="259" w:lineRule="auto"/>
        <w:rPr>
          <w:rFonts w:cs="Arial"/>
        </w:rPr>
      </w:pPr>
      <w:r w:rsidRPr="0098077F">
        <w:rPr>
          <w:rFonts w:cs="Arial"/>
        </w:rPr>
        <w:t xml:space="preserve">In </w:t>
      </w:r>
      <w:r w:rsidR="0098077F" w:rsidRPr="0098077F">
        <w:rPr>
          <w:rFonts w:cs="Arial"/>
        </w:rPr>
        <w:t>Nov-</w:t>
      </w:r>
      <w:r w:rsidRPr="0098077F">
        <w:rPr>
          <w:rFonts w:cs="Arial"/>
        </w:rPr>
        <w:t xml:space="preserve">17 Lancashire were </w:t>
      </w:r>
      <w:r w:rsidR="0098077F" w:rsidRPr="0098077F">
        <w:rPr>
          <w:rFonts w:cs="Arial"/>
        </w:rPr>
        <w:t>9</w:t>
      </w:r>
      <w:r w:rsidRPr="0098077F">
        <w:rPr>
          <w:rFonts w:cs="Arial"/>
          <w:vertAlign w:val="superscript"/>
        </w:rPr>
        <w:t>th</w:t>
      </w:r>
      <w:r w:rsidRPr="0098077F">
        <w:rPr>
          <w:rFonts w:cs="Arial"/>
        </w:rPr>
        <w:t xml:space="preserve"> highest out of 23 NW authorities for the social care bed days per 100,000 population aged 18+.</w:t>
      </w:r>
    </w:p>
    <w:p w:rsidR="0098077F" w:rsidRPr="0098077F" w:rsidRDefault="0098077F" w:rsidP="00D20769">
      <w:pPr>
        <w:spacing w:after="160" w:line="259" w:lineRule="auto"/>
        <w:rPr>
          <w:rFonts w:cs="Arial"/>
        </w:rPr>
      </w:pPr>
      <w:r w:rsidRPr="0098077F">
        <w:rPr>
          <w:noProof/>
          <w:lang w:eastAsia="en-GB"/>
        </w:rPr>
        <w:drawing>
          <wp:inline distT="0" distB="0" distL="0" distR="0" wp14:anchorId="4FA10087" wp14:editId="544D5B7F">
            <wp:extent cx="5727700" cy="4370120"/>
            <wp:effectExtent l="0" t="0" r="635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20769" w:rsidRPr="0098077F" w:rsidRDefault="00D20769" w:rsidP="00D20769">
      <w:pPr>
        <w:spacing w:after="160" w:line="259" w:lineRule="auto"/>
        <w:rPr>
          <w:rFonts w:cs="Arial"/>
        </w:rPr>
      </w:pPr>
      <w:r w:rsidRPr="0098077F">
        <w:rPr>
          <w:rFonts w:cs="Arial"/>
        </w:rPr>
        <w:t xml:space="preserve">In </w:t>
      </w:r>
      <w:r w:rsidR="0098077F" w:rsidRPr="0098077F">
        <w:rPr>
          <w:rFonts w:cs="Arial"/>
        </w:rPr>
        <w:t>Nov</w:t>
      </w:r>
      <w:r w:rsidRPr="0098077F">
        <w:rPr>
          <w:rFonts w:cs="Arial"/>
        </w:rPr>
        <w:t xml:space="preserve">-17 Lancashire were </w:t>
      </w:r>
      <w:r w:rsidR="0098077F" w:rsidRPr="0098077F">
        <w:rPr>
          <w:rFonts w:cs="Arial"/>
        </w:rPr>
        <w:t>4</w:t>
      </w:r>
      <w:r w:rsidRPr="0098077F">
        <w:rPr>
          <w:rFonts w:cs="Arial"/>
          <w:vertAlign w:val="superscript"/>
        </w:rPr>
        <w:t>h</w:t>
      </w:r>
      <w:r w:rsidRPr="0098077F">
        <w:rPr>
          <w:rFonts w:cs="Arial"/>
        </w:rPr>
        <w:t xml:space="preserve"> highest out of 16 comparator authorities for social care bed days per 100,000 population aged 18+.</w:t>
      </w:r>
    </w:p>
    <w:p w:rsidR="0098077F" w:rsidRPr="0098077F" w:rsidRDefault="0098077F" w:rsidP="00D20769">
      <w:pPr>
        <w:spacing w:after="160" w:line="259" w:lineRule="auto"/>
        <w:rPr>
          <w:rFonts w:cs="Arial"/>
        </w:rPr>
      </w:pPr>
      <w:r w:rsidRPr="0098077F">
        <w:rPr>
          <w:noProof/>
          <w:lang w:eastAsia="en-GB"/>
        </w:rPr>
        <w:drawing>
          <wp:inline distT="0" distB="0" distL="0" distR="0" wp14:anchorId="79529E0D" wp14:editId="36AAD826">
            <wp:extent cx="5727700" cy="3063834"/>
            <wp:effectExtent l="0" t="0" r="6350" b="38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F7837" w:rsidRPr="0098077F" w:rsidRDefault="00EF7837" w:rsidP="00EF7837">
      <w:pPr>
        <w:pStyle w:val="Heading2"/>
      </w:pPr>
      <w:bookmarkStart w:id="7" w:name="_Toc503454135"/>
      <w:r w:rsidRPr="0098077F">
        <w:t>ASCOF 2C indicators</w:t>
      </w:r>
      <w:bookmarkEnd w:id="7"/>
    </w:p>
    <w:p w:rsidR="008A7A1E" w:rsidRPr="0098077F" w:rsidRDefault="008A7A1E" w:rsidP="008A7A1E">
      <w:pPr>
        <w:spacing w:after="0"/>
        <w:jc w:val="left"/>
        <w:rPr>
          <w:lang w:eastAsia="en-GB"/>
        </w:rPr>
      </w:pPr>
    </w:p>
    <w:p w:rsidR="008A7A1E" w:rsidRPr="001E0F9F" w:rsidRDefault="008A7A1E" w:rsidP="008A7A1E">
      <w:pPr>
        <w:spacing w:after="160" w:line="259" w:lineRule="auto"/>
        <w:rPr>
          <w:rFonts w:cs="Arial"/>
        </w:rPr>
      </w:pPr>
      <w:r w:rsidRPr="0098077F">
        <w:rPr>
          <w:rFonts w:cs="Arial"/>
        </w:rPr>
        <w:t>As of April 2017, data on the number of patients delayed on the last Thursday of the month is no longer being collected</w:t>
      </w:r>
      <w:r w:rsidRPr="001E0F9F">
        <w:rPr>
          <w:rFonts w:cs="Arial"/>
        </w:rPr>
        <w:t xml:space="preserve"> and so the ASCOF 2C scores will no longer be calculated according to the previous definition. This measure has been replaced in the Delayed Transfers of Care publication files by </w:t>
      </w:r>
      <w:r w:rsidR="00EF7837" w:rsidRPr="001E0F9F">
        <w:rPr>
          <w:rFonts w:cs="Arial"/>
        </w:rPr>
        <w:t>the</w:t>
      </w:r>
      <w:r w:rsidRPr="001E0F9F">
        <w:rPr>
          <w:rFonts w:cs="Arial"/>
        </w:rPr>
        <w:t xml:space="preserve"> measure called DToC Beds. The DToC Beds figure is calculated by dividing the number of delayed days during the month by the number of calendar days in the month. This provides a similar figure to the patient snapshot, but is more representative of the entire month rather than providing a view on one particular day. The new indicator is in 3 parts:</w:t>
      </w:r>
    </w:p>
    <w:p w:rsidR="008A7A1E" w:rsidRPr="001E0F9F" w:rsidRDefault="008A7A1E" w:rsidP="008A7A1E">
      <w:pPr>
        <w:pStyle w:val="ListParagraph"/>
        <w:numPr>
          <w:ilvl w:val="0"/>
          <w:numId w:val="5"/>
        </w:numPr>
        <w:autoSpaceDE/>
        <w:autoSpaceDN/>
        <w:adjustRightInd/>
        <w:spacing w:after="0" w:line="259" w:lineRule="auto"/>
        <w:jc w:val="left"/>
        <w:rPr>
          <w:rFonts w:cs="Arial"/>
        </w:rPr>
      </w:pPr>
      <w:r w:rsidRPr="001E0F9F">
        <w:rPr>
          <w:rFonts w:cs="Arial"/>
        </w:rPr>
        <w:t>2C part 1 (total delayed transfers)</w:t>
      </w:r>
    </w:p>
    <w:p w:rsidR="008A7A1E" w:rsidRPr="001E0F9F" w:rsidRDefault="008A7A1E" w:rsidP="008A7A1E">
      <w:pPr>
        <w:pStyle w:val="ListParagraph"/>
        <w:numPr>
          <w:ilvl w:val="0"/>
          <w:numId w:val="5"/>
        </w:numPr>
        <w:autoSpaceDE/>
        <w:autoSpaceDN/>
        <w:adjustRightInd/>
        <w:spacing w:after="0" w:line="259" w:lineRule="auto"/>
        <w:jc w:val="left"/>
        <w:rPr>
          <w:rFonts w:cs="Arial"/>
        </w:rPr>
      </w:pPr>
      <w:r w:rsidRPr="001E0F9F">
        <w:rPr>
          <w:rFonts w:cs="Arial"/>
        </w:rPr>
        <w:t>2C part 2 (delayed transfers attributable to social care)</w:t>
      </w:r>
    </w:p>
    <w:p w:rsidR="008A7A1E" w:rsidRPr="001E0F9F" w:rsidRDefault="008A7A1E" w:rsidP="008A7A1E">
      <w:pPr>
        <w:pStyle w:val="ListParagraph"/>
        <w:numPr>
          <w:ilvl w:val="0"/>
          <w:numId w:val="5"/>
        </w:numPr>
        <w:autoSpaceDE/>
        <w:autoSpaceDN/>
        <w:adjustRightInd/>
        <w:spacing w:after="0" w:line="259" w:lineRule="auto"/>
        <w:jc w:val="left"/>
        <w:rPr>
          <w:rFonts w:cs="Arial"/>
        </w:rPr>
      </w:pPr>
      <w:r w:rsidRPr="001E0F9F">
        <w:rPr>
          <w:rFonts w:cs="Arial"/>
        </w:rPr>
        <w:t>2C part 3 (delayed transfers jointly attributable to NHS and social care)</w:t>
      </w:r>
    </w:p>
    <w:p w:rsidR="008A7A1E" w:rsidRPr="001E0F9F" w:rsidRDefault="008A7A1E" w:rsidP="008A7A1E">
      <w:pPr>
        <w:spacing w:after="0" w:line="259" w:lineRule="auto"/>
        <w:rPr>
          <w:rFonts w:cs="Arial"/>
        </w:rPr>
      </w:pPr>
    </w:p>
    <w:p w:rsidR="008A7A1E" w:rsidRPr="001E0F9F" w:rsidRDefault="008A7A1E" w:rsidP="008A7A1E">
      <w:pPr>
        <w:spacing w:after="160" w:line="259" w:lineRule="auto"/>
        <w:rPr>
          <w:rFonts w:cs="Arial"/>
        </w:rPr>
      </w:pPr>
      <w:r w:rsidRPr="001E0F9F">
        <w:rPr>
          <w:rFonts w:cs="Arial"/>
        </w:rPr>
        <w:t>The social care element of the new indicator definition has been recalculated for Lancashire and all authorities for 2015/16 to 2017/18 (Apr-</w:t>
      </w:r>
      <w:r w:rsidR="001E0F9F" w:rsidRPr="001E0F9F">
        <w:rPr>
          <w:rFonts w:cs="Arial"/>
        </w:rPr>
        <w:t>Nov</w:t>
      </w:r>
      <w:r w:rsidRPr="001E0F9F">
        <w:rPr>
          <w:rFonts w:cs="Arial"/>
        </w:rPr>
        <w:t>) to provide some comparison of current data with previous years. It is evident that the Lancashire score has increased far more than the national and regional benchmarking.</w:t>
      </w:r>
    </w:p>
    <w:p w:rsidR="001E0F9F" w:rsidRPr="001E0F9F" w:rsidRDefault="001E0F9F" w:rsidP="008A7A1E">
      <w:pPr>
        <w:spacing w:after="160" w:line="259" w:lineRule="auto"/>
        <w:rPr>
          <w:rFonts w:cs="Arial"/>
        </w:rPr>
      </w:pPr>
      <w:r w:rsidRPr="001E0F9F">
        <w:rPr>
          <w:noProof/>
          <w:lang w:eastAsia="en-GB"/>
        </w:rPr>
        <w:drawing>
          <wp:inline distT="0" distB="0" distL="0" distR="0" wp14:anchorId="77052937" wp14:editId="77986A3B">
            <wp:extent cx="5698490" cy="2244090"/>
            <wp:effectExtent l="0" t="0" r="16510" b="381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A7A1E" w:rsidRPr="001E0F9F" w:rsidRDefault="008A7A1E" w:rsidP="008A7A1E">
      <w:pPr>
        <w:spacing w:after="160" w:line="259" w:lineRule="auto"/>
        <w:rPr>
          <w:rFonts w:cs="Arial"/>
        </w:rPr>
      </w:pPr>
      <w:r w:rsidRPr="001E0F9F">
        <w:rPr>
          <w:rFonts w:cs="Arial"/>
        </w:rPr>
        <w:t xml:space="preserve">Lancashire has gone from being in the </w:t>
      </w:r>
      <w:r w:rsidR="00561245">
        <w:rPr>
          <w:rFonts w:cs="Arial"/>
        </w:rPr>
        <w:t>top</w:t>
      </w:r>
      <w:r w:rsidRPr="001E0F9F">
        <w:rPr>
          <w:rFonts w:cs="Arial"/>
        </w:rPr>
        <w:t xml:space="preserve"> quartile to the </w:t>
      </w:r>
      <w:r w:rsidR="00561245">
        <w:rPr>
          <w:rFonts w:cs="Arial"/>
        </w:rPr>
        <w:t>bottom</w:t>
      </w:r>
      <w:r w:rsidRPr="001E0F9F">
        <w:rPr>
          <w:rFonts w:cs="Arial"/>
        </w:rPr>
        <w:t>:</w:t>
      </w:r>
    </w:p>
    <w:p w:rsidR="001E0F9F" w:rsidRPr="001E0F9F" w:rsidRDefault="001E0F9F" w:rsidP="008A7A1E">
      <w:pPr>
        <w:spacing w:after="160" w:line="259" w:lineRule="auto"/>
        <w:rPr>
          <w:rFonts w:cs="Arial"/>
        </w:rPr>
      </w:pPr>
      <w:r w:rsidRPr="001E0F9F">
        <w:rPr>
          <w:noProof/>
          <w:lang w:eastAsia="en-GB"/>
        </w:rPr>
        <w:drawing>
          <wp:inline distT="0" distB="0" distL="0" distR="0" wp14:anchorId="0B89DA38" wp14:editId="646955BD">
            <wp:extent cx="5698490" cy="2375065"/>
            <wp:effectExtent l="0" t="0" r="16510" b="63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20769" w:rsidRPr="001E0F9F" w:rsidRDefault="00D20769" w:rsidP="00034822">
      <w:pPr>
        <w:pStyle w:val="Heading1"/>
      </w:pPr>
      <w:bookmarkStart w:id="8" w:name="_Toc503454136"/>
      <w:r w:rsidRPr="001E0F9F">
        <w:t xml:space="preserve">Provider </w:t>
      </w:r>
      <w:r w:rsidR="00DF5F8E" w:rsidRPr="001E0F9F">
        <w:t>Analysis</w:t>
      </w:r>
      <w:bookmarkEnd w:id="8"/>
    </w:p>
    <w:p w:rsidR="002971C1" w:rsidRDefault="002971C1" w:rsidP="002971C1">
      <w:pPr>
        <w:pStyle w:val="Heading2"/>
      </w:pPr>
      <w:bookmarkStart w:id="9" w:name="_Toc503454137"/>
      <w:r w:rsidRPr="001E0F9F">
        <w:t>Trend Analysis for Lancashire</w:t>
      </w:r>
      <w:r>
        <w:t xml:space="preserve"> Main Providers</w:t>
      </w:r>
      <w:bookmarkEnd w:id="9"/>
    </w:p>
    <w:p w:rsidR="00D20769" w:rsidRDefault="00EE0030" w:rsidP="00D20769">
      <w:pPr>
        <w:rPr>
          <w:rFonts w:cs="Arial"/>
        </w:rPr>
      </w:pPr>
      <w:r>
        <w:rPr>
          <w:rFonts w:cs="Arial"/>
        </w:rPr>
        <w:t>Nov</w:t>
      </w:r>
      <w:r w:rsidR="00D20769" w:rsidRPr="002B1ECC">
        <w:rPr>
          <w:rFonts w:cs="Arial"/>
        </w:rPr>
        <w:t xml:space="preserve">-17 reveals a </w:t>
      </w:r>
      <w:r>
        <w:rPr>
          <w:rFonts w:cs="Arial"/>
        </w:rPr>
        <w:t>slight in</w:t>
      </w:r>
      <w:r w:rsidR="00D20769" w:rsidRPr="002B1ECC">
        <w:rPr>
          <w:rFonts w:cs="Arial"/>
        </w:rPr>
        <w:t xml:space="preserve">crease to </w:t>
      </w:r>
      <w:r>
        <w:rPr>
          <w:rFonts w:cs="Arial"/>
        </w:rPr>
        <w:t>1151</w:t>
      </w:r>
      <w:r w:rsidR="00D20769" w:rsidRPr="002B1ECC">
        <w:rPr>
          <w:rFonts w:cs="Arial"/>
        </w:rPr>
        <w:t xml:space="preserve"> social care days for Lancashire residents at Lancashire Teaching Hospitals NHS Foundation Trust, after a steady rise </w:t>
      </w:r>
      <w:r w:rsidR="00D20769">
        <w:rPr>
          <w:rFonts w:cs="Arial"/>
        </w:rPr>
        <w:t>from</w:t>
      </w:r>
      <w:r w:rsidR="00D20769" w:rsidRPr="002B1ECC">
        <w:rPr>
          <w:rFonts w:cs="Arial"/>
        </w:rPr>
        <w:t xml:space="preserve"> </w:t>
      </w:r>
      <w:r w:rsidR="00D20769">
        <w:rPr>
          <w:rFonts w:cs="Arial"/>
        </w:rPr>
        <w:t>Feb</w:t>
      </w:r>
      <w:r w:rsidR="00D20769" w:rsidRPr="002B1ECC">
        <w:rPr>
          <w:rFonts w:cs="Arial"/>
        </w:rPr>
        <w:t>-17 up to a peak of 1982 days in Jul-17.</w:t>
      </w:r>
    </w:p>
    <w:p w:rsidR="00EE0030" w:rsidRDefault="00EE0030" w:rsidP="00D20769">
      <w:pPr>
        <w:rPr>
          <w:rFonts w:cs="Arial"/>
        </w:rPr>
      </w:pPr>
      <w:r>
        <w:rPr>
          <w:noProof/>
          <w:lang w:eastAsia="en-GB"/>
        </w:rPr>
        <w:drawing>
          <wp:inline distT="0" distB="0" distL="0" distR="0" wp14:anchorId="31CBDB53" wp14:editId="4205B423">
            <wp:extent cx="5818505" cy="3095625"/>
            <wp:effectExtent l="0" t="0" r="1079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20769" w:rsidRPr="002B1ECC" w:rsidRDefault="00D20769" w:rsidP="00CA6CF0">
      <w:pPr>
        <w:spacing w:after="0"/>
        <w:rPr>
          <w:rFonts w:cs="Arial"/>
        </w:rPr>
      </w:pP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1181"/>
        <w:gridCol w:w="966"/>
        <w:gridCol w:w="968"/>
        <w:gridCol w:w="1346"/>
        <w:gridCol w:w="1062"/>
        <w:gridCol w:w="1327"/>
        <w:gridCol w:w="902"/>
      </w:tblGrid>
      <w:tr w:rsidR="00D20769" w:rsidRPr="002B1ECC" w:rsidTr="00CB6B5A">
        <w:trPr>
          <w:trHeight w:val="211"/>
        </w:trPr>
        <w:tc>
          <w:tcPr>
            <w:tcW w:w="772" w:type="pct"/>
            <w:shd w:val="clear" w:color="4F81BD" w:fill="4F81BD"/>
            <w:noWrap/>
            <w:vAlign w:val="bottom"/>
            <w:hideMark/>
          </w:tcPr>
          <w:p w:rsidR="00D20769" w:rsidRPr="002B1ECC" w:rsidRDefault="00D20769" w:rsidP="00D20769">
            <w:pPr>
              <w:spacing w:after="0"/>
              <w:rPr>
                <w:rFonts w:ascii="Calibri" w:eastAsia="Times New Roman" w:hAnsi="Calibri" w:cs="Times New Roman"/>
                <w:b/>
                <w:bCs/>
                <w:color w:val="FFFFFF"/>
                <w:sz w:val="18"/>
                <w:lang w:eastAsia="en-GB"/>
              </w:rPr>
            </w:pPr>
            <w:r w:rsidRPr="002B1ECC">
              <w:rPr>
                <w:rFonts w:ascii="Calibri" w:eastAsia="Times New Roman" w:hAnsi="Calibri" w:cs="Times New Roman"/>
                <w:b/>
                <w:bCs/>
                <w:color w:val="FFFFFF"/>
                <w:sz w:val="18"/>
                <w:lang w:eastAsia="en-GB"/>
              </w:rPr>
              <w:t>Month</w:t>
            </w:r>
          </w:p>
        </w:tc>
        <w:tc>
          <w:tcPr>
            <w:tcW w:w="644" w:type="pct"/>
            <w:shd w:val="clear" w:color="4F81BD" w:fill="4F81BD"/>
            <w:noWrap/>
            <w:vAlign w:val="bottom"/>
            <w:hideMark/>
          </w:tcPr>
          <w:p w:rsidR="00D20769" w:rsidRPr="002B1ECC" w:rsidRDefault="00D20769" w:rsidP="00D20769">
            <w:pPr>
              <w:spacing w:after="0"/>
              <w:rPr>
                <w:rFonts w:ascii="Calibri" w:eastAsia="Times New Roman" w:hAnsi="Calibri" w:cs="Times New Roman"/>
                <w:b/>
                <w:bCs/>
                <w:color w:val="FFFFFF"/>
                <w:sz w:val="18"/>
                <w:lang w:eastAsia="en-GB"/>
              </w:rPr>
            </w:pPr>
            <w:r w:rsidRPr="002B1ECC">
              <w:rPr>
                <w:rFonts w:ascii="Calibri" w:eastAsia="Times New Roman" w:hAnsi="Calibri" w:cs="Times New Roman"/>
                <w:b/>
                <w:bCs/>
                <w:color w:val="FFFFFF"/>
                <w:sz w:val="18"/>
                <w:lang w:eastAsia="en-GB"/>
              </w:rPr>
              <w:t>BLACKPOOL TEACHING HOSPITALS NHS FOUNDATION TRUST</w:t>
            </w:r>
          </w:p>
        </w:tc>
        <w:tc>
          <w:tcPr>
            <w:tcW w:w="527" w:type="pct"/>
            <w:shd w:val="clear" w:color="4F81BD" w:fill="4F81BD"/>
            <w:noWrap/>
            <w:vAlign w:val="bottom"/>
            <w:hideMark/>
          </w:tcPr>
          <w:p w:rsidR="00D20769" w:rsidRPr="002B1ECC" w:rsidRDefault="00D20769" w:rsidP="00D20769">
            <w:pPr>
              <w:spacing w:after="0"/>
              <w:rPr>
                <w:rFonts w:ascii="Calibri" w:eastAsia="Times New Roman" w:hAnsi="Calibri" w:cs="Times New Roman"/>
                <w:b/>
                <w:bCs/>
                <w:color w:val="FFFFFF"/>
                <w:sz w:val="18"/>
                <w:lang w:eastAsia="en-GB"/>
              </w:rPr>
            </w:pPr>
            <w:r w:rsidRPr="002B1ECC">
              <w:rPr>
                <w:rFonts w:ascii="Calibri" w:eastAsia="Times New Roman" w:hAnsi="Calibri" w:cs="Times New Roman"/>
                <w:b/>
                <w:bCs/>
                <w:color w:val="FFFFFF"/>
                <w:sz w:val="18"/>
                <w:lang w:eastAsia="en-GB"/>
              </w:rPr>
              <w:t>EAST LANCASHIRE HOSPITALS NHS TRUST</w:t>
            </w:r>
          </w:p>
        </w:tc>
        <w:tc>
          <w:tcPr>
            <w:tcW w:w="528" w:type="pct"/>
            <w:shd w:val="clear" w:color="4F81BD" w:fill="4F81BD"/>
            <w:noWrap/>
            <w:vAlign w:val="bottom"/>
            <w:hideMark/>
          </w:tcPr>
          <w:p w:rsidR="00D20769" w:rsidRPr="002B1ECC" w:rsidRDefault="00D20769" w:rsidP="00D20769">
            <w:pPr>
              <w:spacing w:after="0"/>
              <w:rPr>
                <w:rFonts w:ascii="Calibri" w:eastAsia="Times New Roman" w:hAnsi="Calibri" w:cs="Times New Roman"/>
                <w:b/>
                <w:bCs/>
                <w:color w:val="FFFFFF"/>
                <w:sz w:val="18"/>
                <w:lang w:eastAsia="en-GB"/>
              </w:rPr>
            </w:pPr>
            <w:r w:rsidRPr="002B1ECC">
              <w:rPr>
                <w:rFonts w:ascii="Calibri" w:eastAsia="Times New Roman" w:hAnsi="Calibri" w:cs="Times New Roman"/>
                <w:b/>
                <w:bCs/>
                <w:color w:val="FFFFFF"/>
                <w:sz w:val="18"/>
                <w:lang w:eastAsia="en-GB"/>
              </w:rPr>
              <w:t>LANCASHIRE CARE NHS FOUNDATION TRUST</w:t>
            </w:r>
          </w:p>
        </w:tc>
        <w:tc>
          <w:tcPr>
            <w:tcW w:w="734" w:type="pct"/>
            <w:shd w:val="clear" w:color="4F81BD" w:fill="4F81BD"/>
            <w:noWrap/>
            <w:vAlign w:val="bottom"/>
            <w:hideMark/>
          </w:tcPr>
          <w:p w:rsidR="00D20769" w:rsidRPr="002B1ECC" w:rsidRDefault="00D20769" w:rsidP="00D20769">
            <w:pPr>
              <w:spacing w:after="0"/>
              <w:rPr>
                <w:rFonts w:ascii="Calibri" w:eastAsia="Times New Roman" w:hAnsi="Calibri" w:cs="Times New Roman"/>
                <w:b/>
                <w:bCs/>
                <w:color w:val="FFFFFF"/>
                <w:sz w:val="18"/>
                <w:lang w:eastAsia="en-GB"/>
              </w:rPr>
            </w:pPr>
            <w:r w:rsidRPr="002B1ECC">
              <w:rPr>
                <w:rFonts w:ascii="Calibri" w:eastAsia="Times New Roman" w:hAnsi="Calibri" w:cs="Times New Roman"/>
                <w:b/>
                <w:bCs/>
                <w:color w:val="FFFFFF"/>
                <w:sz w:val="18"/>
                <w:lang w:eastAsia="en-GB"/>
              </w:rPr>
              <w:t>LANCASHIRE TEACHING HOSPITALS NHS FOUNDATION TRUST</w:t>
            </w:r>
          </w:p>
        </w:tc>
        <w:tc>
          <w:tcPr>
            <w:tcW w:w="579" w:type="pct"/>
            <w:shd w:val="clear" w:color="4F81BD" w:fill="4F81BD"/>
            <w:noWrap/>
            <w:vAlign w:val="bottom"/>
            <w:hideMark/>
          </w:tcPr>
          <w:p w:rsidR="00D20769" w:rsidRPr="002B1ECC" w:rsidRDefault="00D20769" w:rsidP="00D20769">
            <w:pPr>
              <w:spacing w:after="0"/>
              <w:rPr>
                <w:rFonts w:ascii="Calibri" w:eastAsia="Times New Roman" w:hAnsi="Calibri" w:cs="Times New Roman"/>
                <w:b/>
                <w:bCs/>
                <w:color w:val="FFFFFF"/>
                <w:sz w:val="18"/>
                <w:lang w:eastAsia="en-GB"/>
              </w:rPr>
            </w:pPr>
            <w:r w:rsidRPr="002B1ECC">
              <w:rPr>
                <w:rFonts w:ascii="Calibri" w:eastAsia="Times New Roman" w:hAnsi="Calibri" w:cs="Times New Roman"/>
                <w:b/>
                <w:bCs/>
                <w:color w:val="FFFFFF"/>
                <w:sz w:val="18"/>
                <w:lang w:eastAsia="en-GB"/>
              </w:rPr>
              <w:t>SOUTHPORT AND ORMSKIRK HOSPITAL NHS TRUST</w:t>
            </w:r>
          </w:p>
        </w:tc>
        <w:tc>
          <w:tcPr>
            <w:tcW w:w="724" w:type="pct"/>
            <w:shd w:val="clear" w:color="4F81BD" w:fill="4F81BD"/>
            <w:noWrap/>
            <w:vAlign w:val="bottom"/>
            <w:hideMark/>
          </w:tcPr>
          <w:p w:rsidR="00D20769" w:rsidRPr="002B1ECC" w:rsidRDefault="00D20769" w:rsidP="00D20769">
            <w:pPr>
              <w:spacing w:after="0"/>
              <w:rPr>
                <w:rFonts w:ascii="Calibri" w:eastAsia="Times New Roman" w:hAnsi="Calibri" w:cs="Times New Roman"/>
                <w:b/>
                <w:bCs/>
                <w:color w:val="FFFFFF"/>
                <w:sz w:val="18"/>
                <w:lang w:eastAsia="en-GB"/>
              </w:rPr>
            </w:pPr>
            <w:r w:rsidRPr="002B1ECC">
              <w:rPr>
                <w:rFonts w:ascii="Calibri" w:eastAsia="Times New Roman" w:hAnsi="Calibri" w:cs="Times New Roman"/>
                <w:b/>
                <w:bCs/>
                <w:color w:val="FFFFFF"/>
                <w:sz w:val="18"/>
                <w:lang w:eastAsia="en-GB"/>
              </w:rPr>
              <w:t>UNIVERSITY HOSPITALS OF MORECAMBE BAY NHS FOUNDATION TRUST</w:t>
            </w:r>
          </w:p>
        </w:tc>
        <w:tc>
          <w:tcPr>
            <w:tcW w:w="492" w:type="pct"/>
            <w:shd w:val="clear" w:color="4F81BD" w:fill="4F81BD"/>
            <w:noWrap/>
            <w:vAlign w:val="bottom"/>
            <w:hideMark/>
          </w:tcPr>
          <w:p w:rsidR="00D20769" w:rsidRPr="002B1ECC" w:rsidRDefault="00D20769" w:rsidP="00D20769">
            <w:pPr>
              <w:spacing w:after="0"/>
              <w:rPr>
                <w:rFonts w:ascii="Calibri" w:eastAsia="Times New Roman" w:hAnsi="Calibri" w:cs="Times New Roman"/>
                <w:b/>
                <w:bCs/>
                <w:color w:val="FFFFFF"/>
                <w:sz w:val="18"/>
                <w:lang w:eastAsia="en-GB"/>
              </w:rPr>
            </w:pPr>
            <w:r w:rsidRPr="002B1ECC">
              <w:rPr>
                <w:rFonts w:ascii="Calibri" w:eastAsia="Times New Roman" w:hAnsi="Calibri" w:cs="Times New Roman"/>
                <w:b/>
                <w:bCs/>
                <w:color w:val="FFFFFF"/>
                <w:sz w:val="18"/>
                <w:lang w:eastAsia="en-GB"/>
              </w:rPr>
              <w:t>Grand Total</w:t>
            </w:r>
          </w:p>
        </w:tc>
      </w:tr>
      <w:tr w:rsidR="00D20769" w:rsidRPr="002B1ECC" w:rsidTr="00CB6B5A">
        <w:trPr>
          <w:trHeight w:val="170"/>
        </w:trPr>
        <w:tc>
          <w:tcPr>
            <w:tcW w:w="772" w:type="pct"/>
            <w:shd w:val="clear" w:color="auto" w:fill="D9D9D9" w:themeFill="background1" w:themeFillShade="D9"/>
            <w:noWrap/>
            <w:vAlign w:val="bottom"/>
            <w:hideMark/>
          </w:tcPr>
          <w:p w:rsidR="00D20769" w:rsidRPr="002B1ECC" w:rsidRDefault="00D20769" w:rsidP="00D20769">
            <w:pPr>
              <w:spacing w:after="0"/>
              <w:rPr>
                <w:rFonts w:ascii="Calibri" w:eastAsia="Times New Roman" w:hAnsi="Calibri" w:cs="Times New Roman"/>
                <w:b/>
                <w:bCs/>
                <w:sz w:val="18"/>
                <w:lang w:eastAsia="en-GB"/>
              </w:rPr>
            </w:pPr>
            <w:r w:rsidRPr="002B1ECC">
              <w:rPr>
                <w:rFonts w:ascii="Calibri" w:eastAsia="Times New Roman" w:hAnsi="Calibri" w:cs="Times New Roman"/>
                <w:b/>
                <w:bCs/>
                <w:sz w:val="18"/>
                <w:lang w:eastAsia="en-GB"/>
              </w:rPr>
              <w:t>2016-17</w:t>
            </w:r>
          </w:p>
        </w:tc>
        <w:tc>
          <w:tcPr>
            <w:tcW w:w="644" w:type="pct"/>
            <w:shd w:val="clear" w:color="auto" w:fill="D9D9D9" w:themeFill="background1" w:themeFillShade="D9"/>
            <w:noWrap/>
            <w:vAlign w:val="bottom"/>
            <w:hideMark/>
          </w:tcPr>
          <w:p w:rsidR="00D20769" w:rsidRPr="002B1ECC" w:rsidRDefault="00D20769" w:rsidP="00D20769">
            <w:pPr>
              <w:spacing w:after="0"/>
              <w:rPr>
                <w:rFonts w:ascii="Calibri" w:eastAsia="Times New Roman" w:hAnsi="Calibri" w:cs="Times New Roman"/>
                <w:b/>
                <w:bCs/>
                <w:sz w:val="18"/>
                <w:lang w:eastAsia="en-GB"/>
              </w:rPr>
            </w:pPr>
          </w:p>
        </w:tc>
        <w:tc>
          <w:tcPr>
            <w:tcW w:w="527" w:type="pct"/>
            <w:shd w:val="clear" w:color="auto" w:fill="D9D9D9" w:themeFill="background1" w:themeFillShade="D9"/>
            <w:noWrap/>
            <w:vAlign w:val="bottom"/>
            <w:hideMark/>
          </w:tcPr>
          <w:p w:rsidR="00D20769" w:rsidRPr="002B1ECC" w:rsidRDefault="00D20769" w:rsidP="00D20769">
            <w:pPr>
              <w:spacing w:after="0"/>
              <w:rPr>
                <w:rFonts w:ascii="Times New Roman" w:eastAsia="Times New Roman" w:hAnsi="Times New Roman" w:cs="Times New Roman"/>
                <w:sz w:val="18"/>
                <w:szCs w:val="20"/>
                <w:lang w:eastAsia="en-GB"/>
              </w:rPr>
            </w:pPr>
          </w:p>
        </w:tc>
        <w:tc>
          <w:tcPr>
            <w:tcW w:w="528" w:type="pct"/>
            <w:shd w:val="clear" w:color="auto" w:fill="D9D9D9" w:themeFill="background1" w:themeFillShade="D9"/>
            <w:noWrap/>
            <w:vAlign w:val="bottom"/>
            <w:hideMark/>
          </w:tcPr>
          <w:p w:rsidR="00D20769" w:rsidRPr="002B1ECC" w:rsidRDefault="00D20769" w:rsidP="00D20769">
            <w:pPr>
              <w:spacing w:after="0"/>
              <w:rPr>
                <w:rFonts w:ascii="Times New Roman" w:eastAsia="Times New Roman" w:hAnsi="Times New Roman" w:cs="Times New Roman"/>
                <w:sz w:val="18"/>
                <w:szCs w:val="20"/>
                <w:lang w:eastAsia="en-GB"/>
              </w:rPr>
            </w:pPr>
          </w:p>
        </w:tc>
        <w:tc>
          <w:tcPr>
            <w:tcW w:w="734" w:type="pct"/>
            <w:shd w:val="clear" w:color="auto" w:fill="D9D9D9" w:themeFill="background1" w:themeFillShade="D9"/>
            <w:noWrap/>
            <w:vAlign w:val="bottom"/>
            <w:hideMark/>
          </w:tcPr>
          <w:p w:rsidR="00D20769" w:rsidRPr="002B1ECC" w:rsidRDefault="00D20769" w:rsidP="00D20769">
            <w:pPr>
              <w:spacing w:after="0"/>
              <w:rPr>
                <w:rFonts w:ascii="Times New Roman" w:eastAsia="Times New Roman" w:hAnsi="Times New Roman" w:cs="Times New Roman"/>
                <w:sz w:val="18"/>
                <w:szCs w:val="20"/>
                <w:lang w:eastAsia="en-GB"/>
              </w:rPr>
            </w:pPr>
          </w:p>
        </w:tc>
        <w:tc>
          <w:tcPr>
            <w:tcW w:w="579" w:type="pct"/>
            <w:shd w:val="clear" w:color="auto" w:fill="D9D9D9" w:themeFill="background1" w:themeFillShade="D9"/>
            <w:noWrap/>
            <w:vAlign w:val="bottom"/>
            <w:hideMark/>
          </w:tcPr>
          <w:p w:rsidR="00D20769" w:rsidRPr="002B1ECC" w:rsidRDefault="00D20769" w:rsidP="00D20769">
            <w:pPr>
              <w:spacing w:after="0"/>
              <w:rPr>
                <w:rFonts w:ascii="Times New Roman" w:eastAsia="Times New Roman" w:hAnsi="Times New Roman" w:cs="Times New Roman"/>
                <w:sz w:val="18"/>
                <w:szCs w:val="20"/>
                <w:lang w:eastAsia="en-GB"/>
              </w:rPr>
            </w:pPr>
          </w:p>
        </w:tc>
        <w:tc>
          <w:tcPr>
            <w:tcW w:w="724" w:type="pct"/>
            <w:shd w:val="clear" w:color="auto" w:fill="D9D9D9" w:themeFill="background1" w:themeFillShade="D9"/>
            <w:noWrap/>
            <w:vAlign w:val="bottom"/>
            <w:hideMark/>
          </w:tcPr>
          <w:p w:rsidR="00D20769" w:rsidRPr="002B1ECC" w:rsidRDefault="00D20769" w:rsidP="00D20769">
            <w:pPr>
              <w:spacing w:after="0"/>
              <w:rPr>
                <w:rFonts w:ascii="Times New Roman" w:eastAsia="Times New Roman" w:hAnsi="Times New Roman" w:cs="Times New Roman"/>
                <w:sz w:val="18"/>
                <w:szCs w:val="20"/>
                <w:lang w:eastAsia="en-GB"/>
              </w:rPr>
            </w:pPr>
          </w:p>
        </w:tc>
        <w:tc>
          <w:tcPr>
            <w:tcW w:w="492" w:type="pct"/>
            <w:shd w:val="clear" w:color="auto" w:fill="D9D9D9" w:themeFill="background1" w:themeFillShade="D9"/>
            <w:noWrap/>
            <w:vAlign w:val="bottom"/>
            <w:hideMark/>
          </w:tcPr>
          <w:p w:rsidR="00D20769" w:rsidRPr="002B1ECC" w:rsidRDefault="00D20769" w:rsidP="00D20769">
            <w:pPr>
              <w:spacing w:after="0"/>
              <w:rPr>
                <w:rFonts w:ascii="Times New Roman" w:eastAsia="Times New Roman" w:hAnsi="Times New Roman" w:cs="Times New Roman"/>
                <w:sz w:val="18"/>
                <w:szCs w:val="20"/>
                <w:lang w:eastAsia="en-GB"/>
              </w:rPr>
            </w:pPr>
          </w:p>
        </w:tc>
      </w:tr>
      <w:tr w:rsidR="00D20769" w:rsidRPr="002B1ECC" w:rsidTr="00CB6B5A">
        <w:trPr>
          <w:trHeight w:val="170"/>
        </w:trPr>
        <w:tc>
          <w:tcPr>
            <w:tcW w:w="772" w:type="pct"/>
            <w:shd w:val="clear" w:color="auto" w:fill="auto"/>
            <w:noWrap/>
            <w:vAlign w:val="bottom"/>
            <w:hideMark/>
          </w:tcPr>
          <w:p w:rsidR="00D20769" w:rsidRPr="002B1ECC" w:rsidRDefault="00D20769" w:rsidP="00D20769">
            <w:pPr>
              <w:spacing w:after="0"/>
              <w:ind w:firstLineChars="100" w:firstLine="180"/>
              <w:rPr>
                <w:rFonts w:ascii="Calibri" w:eastAsia="Times New Roman" w:hAnsi="Calibri" w:cs="Times New Roman"/>
                <w:sz w:val="18"/>
                <w:lang w:eastAsia="en-GB"/>
              </w:rPr>
            </w:pPr>
            <w:r w:rsidRPr="002B1ECC">
              <w:rPr>
                <w:rFonts w:ascii="Calibri" w:eastAsia="Times New Roman" w:hAnsi="Calibri" w:cs="Times New Roman"/>
                <w:sz w:val="18"/>
                <w:lang w:eastAsia="en-GB"/>
              </w:rPr>
              <w:t>APRIL</w:t>
            </w:r>
          </w:p>
        </w:tc>
        <w:tc>
          <w:tcPr>
            <w:tcW w:w="64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165</w:t>
            </w:r>
          </w:p>
        </w:tc>
        <w:tc>
          <w:tcPr>
            <w:tcW w:w="527"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80</w:t>
            </w:r>
          </w:p>
        </w:tc>
        <w:tc>
          <w:tcPr>
            <w:tcW w:w="528"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87</w:t>
            </w:r>
          </w:p>
        </w:tc>
        <w:tc>
          <w:tcPr>
            <w:tcW w:w="73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52</w:t>
            </w:r>
          </w:p>
        </w:tc>
        <w:tc>
          <w:tcPr>
            <w:tcW w:w="579"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0</w:t>
            </w:r>
          </w:p>
        </w:tc>
        <w:tc>
          <w:tcPr>
            <w:tcW w:w="72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89</w:t>
            </w:r>
          </w:p>
        </w:tc>
        <w:tc>
          <w:tcPr>
            <w:tcW w:w="492"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473</w:t>
            </w:r>
          </w:p>
        </w:tc>
      </w:tr>
      <w:tr w:rsidR="00D20769" w:rsidRPr="002B1ECC" w:rsidTr="00CB6B5A">
        <w:trPr>
          <w:trHeight w:val="170"/>
        </w:trPr>
        <w:tc>
          <w:tcPr>
            <w:tcW w:w="772" w:type="pct"/>
            <w:shd w:val="clear" w:color="auto" w:fill="auto"/>
            <w:noWrap/>
            <w:vAlign w:val="bottom"/>
            <w:hideMark/>
          </w:tcPr>
          <w:p w:rsidR="00D20769" w:rsidRPr="002B1ECC" w:rsidRDefault="00D20769" w:rsidP="00D20769">
            <w:pPr>
              <w:spacing w:after="0"/>
              <w:ind w:firstLineChars="100" w:firstLine="180"/>
              <w:rPr>
                <w:rFonts w:ascii="Calibri" w:eastAsia="Times New Roman" w:hAnsi="Calibri" w:cs="Times New Roman"/>
                <w:sz w:val="18"/>
                <w:lang w:eastAsia="en-GB"/>
              </w:rPr>
            </w:pPr>
            <w:r w:rsidRPr="002B1ECC">
              <w:rPr>
                <w:rFonts w:ascii="Calibri" w:eastAsia="Times New Roman" w:hAnsi="Calibri" w:cs="Times New Roman"/>
                <w:sz w:val="18"/>
                <w:lang w:eastAsia="en-GB"/>
              </w:rPr>
              <w:t>MAY</w:t>
            </w:r>
          </w:p>
        </w:tc>
        <w:tc>
          <w:tcPr>
            <w:tcW w:w="64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109</w:t>
            </w:r>
          </w:p>
        </w:tc>
        <w:tc>
          <w:tcPr>
            <w:tcW w:w="527"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304</w:t>
            </w:r>
          </w:p>
        </w:tc>
        <w:tc>
          <w:tcPr>
            <w:tcW w:w="528"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111</w:t>
            </w:r>
          </w:p>
        </w:tc>
        <w:tc>
          <w:tcPr>
            <w:tcW w:w="73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13</w:t>
            </w:r>
          </w:p>
        </w:tc>
        <w:tc>
          <w:tcPr>
            <w:tcW w:w="579"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0</w:t>
            </w:r>
          </w:p>
        </w:tc>
        <w:tc>
          <w:tcPr>
            <w:tcW w:w="72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151</w:t>
            </w:r>
          </w:p>
        </w:tc>
        <w:tc>
          <w:tcPr>
            <w:tcW w:w="492"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688</w:t>
            </w:r>
          </w:p>
        </w:tc>
      </w:tr>
      <w:tr w:rsidR="00D20769" w:rsidRPr="002B1ECC" w:rsidTr="00CB6B5A">
        <w:trPr>
          <w:trHeight w:val="170"/>
        </w:trPr>
        <w:tc>
          <w:tcPr>
            <w:tcW w:w="772" w:type="pct"/>
            <w:shd w:val="clear" w:color="auto" w:fill="auto"/>
            <w:noWrap/>
            <w:vAlign w:val="bottom"/>
            <w:hideMark/>
          </w:tcPr>
          <w:p w:rsidR="00D20769" w:rsidRPr="002B1ECC" w:rsidRDefault="00D20769" w:rsidP="00D20769">
            <w:pPr>
              <w:spacing w:after="0"/>
              <w:ind w:firstLineChars="100" w:firstLine="180"/>
              <w:rPr>
                <w:rFonts w:ascii="Calibri" w:eastAsia="Times New Roman" w:hAnsi="Calibri" w:cs="Times New Roman"/>
                <w:sz w:val="18"/>
                <w:lang w:eastAsia="en-GB"/>
              </w:rPr>
            </w:pPr>
            <w:r w:rsidRPr="002B1ECC">
              <w:rPr>
                <w:rFonts w:ascii="Calibri" w:eastAsia="Times New Roman" w:hAnsi="Calibri" w:cs="Times New Roman"/>
                <w:sz w:val="18"/>
                <w:lang w:eastAsia="en-GB"/>
              </w:rPr>
              <w:t>JUNE</w:t>
            </w:r>
          </w:p>
        </w:tc>
        <w:tc>
          <w:tcPr>
            <w:tcW w:w="64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216</w:t>
            </w:r>
          </w:p>
        </w:tc>
        <w:tc>
          <w:tcPr>
            <w:tcW w:w="527"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331</w:t>
            </w:r>
          </w:p>
        </w:tc>
        <w:tc>
          <w:tcPr>
            <w:tcW w:w="528"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39</w:t>
            </w:r>
          </w:p>
        </w:tc>
        <w:tc>
          <w:tcPr>
            <w:tcW w:w="73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5</w:t>
            </w:r>
          </w:p>
        </w:tc>
        <w:tc>
          <w:tcPr>
            <w:tcW w:w="579"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0</w:t>
            </w:r>
          </w:p>
        </w:tc>
        <w:tc>
          <w:tcPr>
            <w:tcW w:w="72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76</w:t>
            </w:r>
          </w:p>
        </w:tc>
        <w:tc>
          <w:tcPr>
            <w:tcW w:w="492"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667</w:t>
            </w:r>
          </w:p>
        </w:tc>
      </w:tr>
      <w:tr w:rsidR="00D20769" w:rsidRPr="002B1ECC" w:rsidTr="00CB6B5A">
        <w:trPr>
          <w:trHeight w:val="170"/>
        </w:trPr>
        <w:tc>
          <w:tcPr>
            <w:tcW w:w="772" w:type="pct"/>
            <w:shd w:val="clear" w:color="auto" w:fill="auto"/>
            <w:noWrap/>
            <w:vAlign w:val="bottom"/>
            <w:hideMark/>
          </w:tcPr>
          <w:p w:rsidR="00D20769" w:rsidRPr="002B1ECC" w:rsidRDefault="00D20769" w:rsidP="00D20769">
            <w:pPr>
              <w:spacing w:after="0"/>
              <w:ind w:firstLineChars="100" w:firstLine="180"/>
              <w:rPr>
                <w:rFonts w:ascii="Calibri" w:eastAsia="Times New Roman" w:hAnsi="Calibri" w:cs="Times New Roman"/>
                <w:sz w:val="18"/>
                <w:lang w:eastAsia="en-GB"/>
              </w:rPr>
            </w:pPr>
            <w:r w:rsidRPr="002B1ECC">
              <w:rPr>
                <w:rFonts w:ascii="Calibri" w:eastAsia="Times New Roman" w:hAnsi="Calibri" w:cs="Times New Roman"/>
                <w:sz w:val="18"/>
                <w:lang w:eastAsia="en-GB"/>
              </w:rPr>
              <w:t>JULY</w:t>
            </w:r>
          </w:p>
        </w:tc>
        <w:tc>
          <w:tcPr>
            <w:tcW w:w="64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156</w:t>
            </w:r>
          </w:p>
        </w:tc>
        <w:tc>
          <w:tcPr>
            <w:tcW w:w="527"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288</w:t>
            </w:r>
          </w:p>
        </w:tc>
        <w:tc>
          <w:tcPr>
            <w:tcW w:w="528"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76</w:t>
            </w:r>
          </w:p>
        </w:tc>
        <w:tc>
          <w:tcPr>
            <w:tcW w:w="73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14</w:t>
            </w:r>
          </w:p>
        </w:tc>
        <w:tc>
          <w:tcPr>
            <w:tcW w:w="579"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0</w:t>
            </w:r>
          </w:p>
        </w:tc>
        <w:tc>
          <w:tcPr>
            <w:tcW w:w="72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94</w:t>
            </w:r>
          </w:p>
        </w:tc>
        <w:tc>
          <w:tcPr>
            <w:tcW w:w="492"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628</w:t>
            </w:r>
          </w:p>
        </w:tc>
      </w:tr>
      <w:tr w:rsidR="00D20769" w:rsidRPr="002B1ECC" w:rsidTr="00CB6B5A">
        <w:trPr>
          <w:trHeight w:val="170"/>
        </w:trPr>
        <w:tc>
          <w:tcPr>
            <w:tcW w:w="772" w:type="pct"/>
            <w:shd w:val="clear" w:color="auto" w:fill="auto"/>
            <w:noWrap/>
            <w:vAlign w:val="bottom"/>
            <w:hideMark/>
          </w:tcPr>
          <w:p w:rsidR="00D20769" w:rsidRPr="002B1ECC" w:rsidRDefault="00D20769" w:rsidP="00D20769">
            <w:pPr>
              <w:spacing w:after="0"/>
              <w:ind w:firstLineChars="100" w:firstLine="180"/>
              <w:rPr>
                <w:rFonts w:ascii="Calibri" w:eastAsia="Times New Roman" w:hAnsi="Calibri" w:cs="Times New Roman"/>
                <w:sz w:val="18"/>
                <w:lang w:eastAsia="en-GB"/>
              </w:rPr>
            </w:pPr>
            <w:r w:rsidRPr="002B1ECC">
              <w:rPr>
                <w:rFonts w:ascii="Calibri" w:eastAsia="Times New Roman" w:hAnsi="Calibri" w:cs="Times New Roman"/>
                <w:sz w:val="18"/>
                <w:lang w:eastAsia="en-GB"/>
              </w:rPr>
              <w:t>AUGUST</w:t>
            </w:r>
          </w:p>
        </w:tc>
        <w:tc>
          <w:tcPr>
            <w:tcW w:w="64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289</w:t>
            </w:r>
          </w:p>
        </w:tc>
        <w:tc>
          <w:tcPr>
            <w:tcW w:w="527"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417</w:t>
            </w:r>
          </w:p>
        </w:tc>
        <w:tc>
          <w:tcPr>
            <w:tcW w:w="528"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31</w:t>
            </w:r>
          </w:p>
        </w:tc>
        <w:tc>
          <w:tcPr>
            <w:tcW w:w="73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57</w:t>
            </w:r>
          </w:p>
        </w:tc>
        <w:tc>
          <w:tcPr>
            <w:tcW w:w="579"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0</w:t>
            </w:r>
          </w:p>
        </w:tc>
        <w:tc>
          <w:tcPr>
            <w:tcW w:w="72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97</w:t>
            </w:r>
          </w:p>
        </w:tc>
        <w:tc>
          <w:tcPr>
            <w:tcW w:w="492"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891</w:t>
            </w:r>
          </w:p>
        </w:tc>
      </w:tr>
      <w:tr w:rsidR="00D20769" w:rsidRPr="002B1ECC" w:rsidTr="00CB6B5A">
        <w:trPr>
          <w:trHeight w:val="170"/>
        </w:trPr>
        <w:tc>
          <w:tcPr>
            <w:tcW w:w="772" w:type="pct"/>
            <w:shd w:val="clear" w:color="auto" w:fill="auto"/>
            <w:noWrap/>
            <w:vAlign w:val="bottom"/>
            <w:hideMark/>
          </w:tcPr>
          <w:p w:rsidR="00D20769" w:rsidRPr="002B1ECC" w:rsidRDefault="00D20769" w:rsidP="00D20769">
            <w:pPr>
              <w:spacing w:after="0"/>
              <w:ind w:firstLineChars="100" w:firstLine="180"/>
              <w:rPr>
                <w:rFonts w:ascii="Calibri" w:eastAsia="Times New Roman" w:hAnsi="Calibri" w:cs="Times New Roman"/>
                <w:sz w:val="18"/>
                <w:lang w:eastAsia="en-GB"/>
              </w:rPr>
            </w:pPr>
            <w:r w:rsidRPr="002B1ECC">
              <w:rPr>
                <w:rFonts w:ascii="Calibri" w:eastAsia="Times New Roman" w:hAnsi="Calibri" w:cs="Times New Roman"/>
                <w:sz w:val="18"/>
                <w:lang w:eastAsia="en-GB"/>
              </w:rPr>
              <w:t>SEPTEMBER</w:t>
            </w:r>
          </w:p>
        </w:tc>
        <w:tc>
          <w:tcPr>
            <w:tcW w:w="64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460</w:t>
            </w:r>
          </w:p>
        </w:tc>
        <w:tc>
          <w:tcPr>
            <w:tcW w:w="527"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682</w:t>
            </w:r>
          </w:p>
        </w:tc>
        <w:tc>
          <w:tcPr>
            <w:tcW w:w="528"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61</w:t>
            </w:r>
          </w:p>
        </w:tc>
        <w:tc>
          <w:tcPr>
            <w:tcW w:w="73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62</w:t>
            </w:r>
          </w:p>
        </w:tc>
        <w:tc>
          <w:tcPr>
            <w:tcW w:w="579"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8</w:t>
            </w:r>
          </w:p>
        </w:tc>
        <w:tc>
          <w:tcPr>
            <w:tcW w:w="72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181</w:t>
            </w:r>
          </w:p>
        </w:tc>
        <w:tc>
          <w:tcPr>
            <w:tcW w:w="492"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1454</w:t>
            </w:r>
          </w:p>
        </w:tc>
      </w:tr>
      <w:tr w:rsidR="00D20769" w:rsidRPr="002B1ECC" w:rsidTr="00CB6B5A">
        <w:trPr>
          <w:trHeight w:val="170"/>
        </w:trPr>
        <w:tc>
          <w:tcPr>
            <w:tcW w:w="772" w:type="pct"/>
            <w:shd w:val="clear" w:color="auto" w:fill="auto"/>
            <w:noWrap/>
            <w:vAlign w:val="bottom"/>
            <w:hideMark/>
          </w:tcPr>
          <w:p w:rsidR="00D20769" w:rsidRPr="002B1ECC" w:rsidRDefault="00D20769" w:rsidP="00D20769">
            <w:pPr>
              <w:spacing w:after="0"/>
              <w:ind w:firstLineChars="100" w:firstLine="180"/>
              <w:rPr>
                <w:rFonts w:ascii="Calibri" w:eastAsia="Times New Roman" w:hAnsi="Calibri" w:cs="Times New Roman"/>
                <w:sz w:val="18"/>
                <w:lang w:eastAsia="en-GB"/>
              </w:rPr>
            </w:pPr>
            <w:r w:rsidRPr="002B1ECC">
              <w:rPr>
                <w:rFonts w:ascii="Calibri" w:eastAsia="Times New Roman" w:hAnsi="Calibri" w:cs="Times New Roman"/>
                <w:sz w:val="18"/>
                <w:lang w:eastAsia="en-GB"/>
              </w:rPr>
              <w:t>OCTOBER</w:t>
            </w:r>
          </w:p>
        </w:tc>
        <w:tc>
          <w:tcPr>
            <w:tcW w:w="64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245</w:t>
            </w:r>
          </w:p>
        </w:tc>
        <w:tc>
          <w:tcPr>
            <w:tcW w:w="527"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628</w:t>
            </w:r>
          </w:p>
        </w:tc>
        <w:tc>
          <w:tcPr>
            <w:tcW w:w="528"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93</w:t>
            </w:r>
          </w:p>
        </w:tc>
        <w:tc>
          <w:tcPr>
            <w:tcW w:w="73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63</w:t>
            </w:r>
          </w:p>
        </w:tc>
        <w:tc>
          <w:tcPr>
            <w:tcW w:w="579"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6</w:t>
            </w:r>
          </w:p>
        </w:tc>
        <w:tc>
          <w:tcPr>
            <w:tcW w:w="724"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82</w:t>
            </w:r>
          </w:p>
        </w:tc>
        <w:tc>
          <w:tcPr>
            <w:tcW w:w="492" w:type="pct"/>
            <w:shd w:val="clear" w:color="auto" w:fill="auto"/>
            <w:noWrap/>
            <w:vAlign w:val="bottom"/>
            <w:hideMark/>
          </w:tcPr>
          <w:p w:rsidR="00D20769" w:rsidRPr="002B1ECC" w:rsidRDefault="00D20769" w:rsidP="00D20769">
            <w:pPr>
              <w:spacing w:after="0"/>
              <w:jc w:val="right"/>
              <w:rPr>
                <w:rFonts w:ascii="Calibri" w:eastAsia="Times New Roman" w:hAnsi="Calibri" w:cs="Times New Roman"/>
                <w:sz w:val="18"/>
                <w:lang w:eastAsia="en-GB"/>
              </w:rPr>
            </w:pPr>
            <w:r w:rsidRPr="002B1ECC">
              <w:rPr>
                <w:rFonts w:ascii="Calibri" w:eastAsia="Times New Roman" w:hAnsi="Calibri" w:cs="Times New Roman"/>
                <w:sz w:val="18"/>
                <w:lang w:eastAsia="en-GB"/>
              </w:rPr>
              <w:t>1117</w:t>
            </w:r>
          </w:p>
        </w:tc>
      </w:tr>
      <w:tr w:rsidR="00D20769" w:rsidRPr="002B1ECC" w:rsidTr="00CB6B5A">
        <w:trPr>
          <w:trHeight w:val="170"/>
        </w:trPr>
        <w:tc>
          <w:tcPr>
            <w:tcW w:w="772" w:type="pct"/>
            <w:shd w:val="clear" w:color="auto" w:fill="auto"/>
            <w:noWrap/>
            <w:vAlign w:val="bottom"/>
          </w:tcPr>
          <w:p w:rsidR="00D20769" w:rsidRPr="002B1ECC" w:rsidRDefault="00D20769" w:rsidP="00D20769">
            <w:pPr>
              <w:spacing w:after="0"/>
              <w:ind w:firstLineChars="100" w:firstLine="180"/>
              <w:rPr>
                <w:rFonts w:ascii="Calibri" w:hAnsi="Calibri"/>
                <w:sz w:val="18"/>
              </w:rPr>
            </w:pPr>
            <w:r w:rsidRPr="002B1ECC">
              <w:rPr>
                <w:rFonts w:ascii="Calibri" w:hAnsi="Calibri"/>
                <w:sz w:val="18"/>
              </w:rPr>
              <w:t>NOVEMBER</w:t>
            </w:r>
          </w:p>
        </w:tc>
        <w:tc>
          <w:tcPr>
            <w:tcW w:w="64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107</w:t>
            </w:r>
          </w:p>
        </w:tc>
        <w:tc>
          <w:tcPr>
            <w:tcW w:w="527"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459</w:t>
            </w:r>
          </w:p>
        </w:tc>
        <w:tc>
          <w:tcPr>
            <w:tcW w:w="528"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33</w:t>
            </w:r>
          </w:p>
        </w:tc>
        <w:tc>
          <w:tcPr>
            <w:tcW w:w="73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48</w:t>
            </w:r>
          </w:p>
        </w:tc>
        <w:tc>
          <w:tcPr>
            <w:tcW w:w="579"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3</w:t>
            </w:r>
          </w:p>
        </w:tc>
        <w:tc>
          <w:tcPr>
            <w:tcW w:w="72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163</w:t>
            </w:r>
          </w:p>
        </w:tc>
        <w:tc>
          <w:tcPr>
            <w:tcW w:w="492"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813</w:t>
            </w:r>
          </w:p>
        </w:tc>
      </w:tr>
      <w:tr w:rsidR="00D20769" w:rsidRPr="002B1ECC" w:rsidTr="00CB6B5A">
        <w:trPr>
          <w:trHeight w:val="170"/>
        </w:trPr>
        <w:tc>
          <w:tcPr>
            <w:tcW w:w="772" w:type="pct"/>
            <w:shd w:val="clear" w:color="auto" w:fill="auto"/>
            <w:noWrap/>
            <w:vAlign w:val="bottom"/>
          </w:tcPr>
          <w:p w:rsidR="00D20769" w:rsidRPr="002B1ECC" w:rsidRDefault="00D20769" w:rsidP="00D20769">
            <w:pPr>
              <w:spacing w:after="0"/>
              <w:ind w:firstLineChars="100" w:firstLine="180"/>
              <w:rPr>
                <w:rFonts w:ascii="Calibri" w:hAnsi="Calibri"/>
                <w:sz w:val="18"/>
              </w:rPr>
            </w:pPr>
            <w:r w:rsidRPr="002B1ECC">
              <w:rPr>
                <w:rFonts w:ascii="Calibri" w:hAnsi="Calibri"/>
                <w:sz w:val="18"/>
              </w:rPr>
              <w:t>DECEMBER</w:t>
            </w:r>
          </w:p>
        </w:tc>
        <w:tc>
          <w:tcPr>
            <w:tcW w:w="64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227</w:t>
            </w:r>
          </w:p>
        </w:tc>
        <w:tc>
          <w:tcPr>
            <w:tcW w:w="527"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532</w:t>
            </w:r>
          </w:p>
        </w:tc>
        <w:tc>
          <w:tcPr>
            <w:tcW w:w="528"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25</w:t>
            </w:r>
          </w:p>
        </w:tc>
        <w:tc>
          <w:tcPr>
            <w:tcW w:w="73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248</w:t>
            </w:r>
          </w:p>
        </w:tc>
        <w:tc>
          <w:tcPr>
            <w:tcW w:w="579"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0</w:t>
            </w:r>
          </w:p>
        </w:tc>
        <w:tc>
          <w:tcPr>
            <w:tcW w:w="72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180</w:t>
            </w:r>
          </w:p>
        </w:tc>
        <w:tc>
          <w:tcPr>
            <w:tcW w:w="492"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1212</w:t>
            </w:r>
          </w:p>
        </w:tc>
      </w:tr>
      <w:tr w:rsidR="00D20769" w:rsidRPr="002B1ECC" w:rsidTr="00CB6B5A">
        <w:trPr>
          <w:trHeight w:val="170"/>
        </w:trPr>
        <w:tc>
          <w:tcPr>
            <w:tcW w:w="772" w:type="pct"/>
            <w:shd w:val="clear" w:color="auto" w:fill="auto"/>
            <w:noWrap/>
            <w:vAlign w:val="bottom"/>
          </w:tcPr>
          <w:p w:rsidR="00D20769" w:rsidRPr="002B1ECC" w:rsidRDefault="00D20769" w:rsidP="00D20769">
            <w:pPr>
              <w:spacing w:after="0"/>
              <w:ind w:firstLineChars="100" w:firstLine="180"/>
              <w:rPr>
                <w:rFonts w:ascii="Calibri" w:hAnsi="Calibri"/>
                <w:sz w:val="18"/>
              </w:rPr>
            </w:pPr>
            <w:r w:rsidRPr="002B1ECC">
              <w:rPr>
                <w:rFonts w:ascii="Calibri" w:hAnsi="Calibri"/>
                <w:sz w:val="18"/>
              </w:rPr>
              <w:t>JANUARY</w:t>
            </w:r>
          </w:p>
        </w:tc>
        <w:tc>
          <w:tcPr>
            <w:tcW w:w="64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302</w:t>
            </w:r>
          </w:p>
        </w:tc>
        <w:tc>
          <w:tcPr>
            <w:tcW w:w="527"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630</w:t>
            </w:r>
          </w:p>
        </w:tc>
        <w:tc>
          <w:tcPr>
            <w:tcW w:w="528"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31</w:t>
            </w:r>
          </w:p>
        </w:tc>
        <w:tc>
          <w:tcPr>
            <w:tcW w:w="73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117</w:t>
            </w:r>
          </w:p>
        </w:tc>
        <w:tc>
          <w:tcPr>
            <w:tcW w:w="579"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5</w:t>
            </w:r>
          </w:p>
        </w:tc>
        <w:tc>
          <w:tcPr>
            <w:tcW w:w="72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146</w:t>
            </w:r>
          </w:p>
        </w:tc>
        <w:tc>
          <w:tcPr>
            <w:tcW w:w="492"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1231</w:t>
            </w:r>
          </w:p>
        </w:tc>
      </w:tr>
      <w:tr w:rsidR="00D20769" w:rsidRPr="002B1ECC" w:rsidTr="00CB6B5A">
        <w:trPr>
          <w:trHeight w:val="170"/>
        </w:trPr>
        <w:tc>
          <w:tcPr>
            <w:tcW w:w="772" w:type="pct"/>
            <w:shd w:val="clear" w:color="auto" w:fill="auto"/>
            <w:noWrap/>
            <w:vAlign w:val="bottom"/>
          </w:tcPr>
          <w:p w:rsidR="00D20769" w:rsidRPr="002B1ECC" w:rsidRDefault="00D20769" w:rsidP="00D20769">
            <w:pPr>
              <w:spacing w:after="0"/>
              <w:ind w:firstLineChars="100" w:firstLine="180"/>
              <w:rPr>
                <w:rFonts w:ascii="Calibri" w:hAnsi="Calibri"/>
                <w:sz w:val="18"/>
              </w:rPr>
            </w:pPr>
            <w:r w:rsidRPr="002B1ECC">
              <w:rPr>
                <w:rFonts w:ascii="Calibri" w:hAnsi="Calibri"/>
                <w:sz w:val="18"/>
              </w:rPr>
              <w:t>FEBRUARY</w:t>
            </w:r>
          </w:p>
        </w:tc>
        <w:tc>
          <w:tcPr>
            <w:tcW w:w="64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232</w:t>
            </w:r>
          </w:p>
        </w:tc>
        <w:tc>
          <w:tcPr>
            <w:tcW w:w="527"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612</w:t>
            </w:r>
          </w:p>
        </w:tc>
        <w:tc>
          <w:tcPr>
            <w:tcW w:w="528"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30</w:t>
            </w:r>
          </w:p>
        </w:tc>
        <w:tc>
          <w:tcPr>
            <w:tcW w:w="73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757</w:t>
            </w:r>
          </w:p>
        </w:tc>
        <w:tc>
          <w:tcPr>
            <w:tcW w:w="579"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0</w:t>
            </w:r>
          </w:p>
        </w:tc>
        <w:tc>
          <w:tcPr>
            <w:tcW w:w="724"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176</w:t>
            </w:r>
          </w:p>
        </w:tc>
        <w:tc>
          <w:tcPr>
            <w:tcW w:w="492" w:type="pct"/>
            <w:shd w:val="clear" w:color="auto" w:fill="auto"/>
            <w:noWrap/>
            <w:vAlign w:val="bottom"/>
          </w:tcPr>
          <w:p w:rsidR="00D20769" w:rsidRPr="002B1ECC" w:rsidRDefault="00D20769" w:rsidP="00D20769">
            <w:pPr>
              <w:spacing w:after="0"/>
              <w:jc w:val="right"/>
              <w:rPr>
                <w:rFonts w:ascii="Calibri" w:hAnsi="Calibri"/>
                <w:sz w:val="18"/>
              </w:rPr>
            </w:pPr>
            <w:r w:rsidRPr="002B1ECC">
              <w:rPr>
                <w:rFonts w:ascii="Calibri" w:hAnsi="Calibri"/>
                <w:sz w:val="18"/>
              </w:rPr>
              <w:t>1807</w:t>
            </w:r>
          </w:p>
        </w:tc>
      </w:tr>
      <w:tr w:rsidR="00D20769" w:rsidRPr="002B1ECC" w:rsidTr="00CB6B5A">
        <w:trPr>
          <w:trHeight w:val="170"/>
        </w:trPr>
        <w:tc>
          <w:tcPr>
            <w:tcW w:w="772" w:type="pct"/>
            <w:shd w:val="clear" w:color="auto" w:fill="auto"/>
            <w:noWrap/>
            <w:vAlign w:val="bottom"/>
            <w:hideMark/>
          </w:tcPr>
          <w:p w:rsidR="00D20769" w:rsidRPr="002B1ECC" w:rsidRDefault="00D20769" w:rsidP="00D20769">
            <w:pPr>
              <w:spacing w:after="0"/>
              <w:ind w:firstLineChars="100" w:firstLine="180"/>
              <w:rPr>
                <w:rFonts w:ascii="Calibri" w:hAnsi="Calibri"/>
                <w:sz w:val="18"/>
                <w:szCs w:val="16"/>
              </w:rPr>
            </w:pPr>
            <w:r w:rsidRPr="002B1ECC">
              <w:rPr>
                <w:rFonts w:ascii="Calibri" w:hAnsi="Calibri"/>
                <w:sz w:val="18"/>
                <w:szCs w:val="16"/>
              </w:rPr>
              <w:t>MARCH</w:t>
            </w:r>
          </w:p>
        </w:tc>
        <w:tc>
          <w:tcPr>
            <w:tcW w:w="644" w:type="pct"/>
            <w:shd w:val="clear" w:color="auto" w:fill="auto"/>
            <w:noWrap/>
            <w:vAlign w:val="bottom"/>
            <w:hideMark/>
          </w:tcPr>
          <w:p w:rsidR="00D20769" w:rsidRPr="002B1ECC" w:rsidRDefault="00D20769" w:rsidP="00D20769">
            <w:pPr>
              <w:spacing w:after="0"/>
              <w:jc w:val="right"/>
              <w:rPr>
                <w:rFonts w:ascii="Calibri" w:hAnsi="Calibri"/>
                <w:sz w:val="18"/>
                <w:szCs w:val="16"/>
              </w:rPr>
            </w:pPr>
            <w:r w:rsidRPr="002B1ECC">
              <w:rPr>
                <w:rFonts w:ascii="Calibri" w:hAnsi="Calibri"/>
                <w:sz w:val="18"/>
                <w:szCs w:val="16"/>
              </w:rPr>
              <w:t>197</w:t>
            </w:r>
          </w:p>
        </w:tc>
        <w:tc>
          <w:tcPr>
            <w:tcW w:w="527" w:type="pct"/>
            <w:shd w:val="clear" w:color="auto" w:fill="auto"/>
            <w:noWrap/>
            <w:vAlign w:val="bottom"/>
            <w:hideMark/>
          </w:tcPr>
          <w:p w:rsidR="00D20769" w:rsidRPr="002B1ECC" w:rsidRDefault="00D20769" w:rsidP="00D20769">
            <w:pPr>
              <w:spacing w:after="0"/>
              <w:jc w:val="right"/>
              <w:rPr>
                <w:rFonts w:ascii="Calibri" w:hAnsi="Calibri"/>
                <w:sz w:val="18"/>
                <w:szCs w:val="16"/>
              </w:rPr>
            </w:pPr>
            <w:r w:rsidRPr="002B1ECC">
              <w:rPr>
                <w:rFonts w:ascii="Calibri" w:hAnsi="Calibri"/>
                <w:sz w:val="18"/>
                <w:szCs w:val="16"/>
              </w:rPr>
              <w:t>597</w:t>
            </w:r>
          </w:p>
        </w:tc>
        <w:tc>
          <w:tcPr>
            <w:tcW w:w="528" w:type="pct"/>
            <w:shd w:val="clear" w:color="auto" w:fill="auto"/>
            <w:noWrap/>
            <w:vAlign w:val="bottom"/>
            <w:hideMark/>
          </w:tcPr>
          <w:p w:rsidR="00D20769" w:rsidRPr="002B1ECC" w:rsidRDefault="00D20769" w:rsidP="00D20769">
            <w:pPr>
              <w:spacing w:after="0"/>
              <w:jc w:val="right"/>
              <w:rPr>
                <w:rFonts w:ascii="Calibri" w:hAnsi="Calibri"/>
                <w:sz w:val="18"/>
                <w:szCs w:val="16"/>
              </w:rPr>
            </w:pPr>
            <w:r w:rsidRPr="002B1ECC">
              <w:rPr>
                <w:rFonts w:ascii="Calibri" w:hAnsi="Calibri"/>
                <w:sz w:val="18"/>
                <w:szCs w:val="16"/>
              </w:rPr>
              <w:t>43</w:t>
            </w:r>
          </w:p>
        </w:tc>
        <w:tc>
          <w:tcPr>
            <w:tcW w:w="734" w:type="pct"/>
            <w:shd w:val="clear" w:color="auto" w:fill="auto"/>
            <w:noWrap/>
            <w:vAlign w:val="bottom"/>
            <w:hideMark/>
          </w:tcPr>
          <w:p w:rsidR="00D20769" w:rsidRPr="002B1ECC" w:rsidRDefault="00D20769" w:rsidP="00D20769">
            <w:pPr>
              <w:spacing w:after="0"/>
              <w:jc w:val="right"/>
              <w:rPr>
                <w:rFonts w:ascii="Calibri" w:hAnsi="Calibri"/>
                <w:sz w:val="18"/>
                <w:szCs w:val="16"/>
              </w:rPr>
            </w:pPr>
            <w:r w:rsidRPr="002B1ECC">
              <w:rPr>
                <w:rFonts w:ascii="Calibri" w:hAnsi="Calibri"/>
                <w:sz w:val="18"/>
                <w:szCs w:val="16"/>
              </w:rPr>
              <w:t>1007</w:t>
            </w:r>
          </w:p>
        </w:tc>
        <w:tc>
          <w:tcPr>
            <w:tcW w:w="579" w:type="pct"/>
            <w:shd w:val="clear" w:color="auto" w:fill="auto"/>
            <w:noWrap/>
            <w:vAlign w:val="bottom"/>
            <w:hideMark/>
          </w:tcPr>
          <w:p w:rsidR="00D20769" w:rsidRPr="002B1ECC" w:rsidRDefault="00D20769" w:rsidP="00D20769">
            <w:pPr>
              <w:spacing w:after="0"/>
              <w:jc w:val="right"/>
              <w:rPr>
                <w:rFonts w:ascii="Calibri" w:hAnsi="Calibri"/>
                <w:sz w:val="18"/>
                <w:szCs w:val="16"/>
              </w:rPr>
            </w:pPr>
            <w:r w:rsidRPr="002B1ECC">
              <w:rPr>
                <w:rFonts w:ascii="Calibri" w:hAnsi="Calibri"/>
                <w:sz w:val="18"/>
                <w:szCs w:val="16"/>
              </w:rPr>
              <w:t>0</w:t>
            </w:r>
          </w:p>
        </w:tc>
        <w:tc>
          <w:tcPr>
            <w:tcW w:w="724" w:type="pct"/>
            <w:shd w:val="clear" w:color="auto" w:fill="auto"/>
            <w:noWrap/>
            <w:vAlign w:val="bottom"/>
            <w:hideMark/>
          </w:tcPr>
          <w:p w:rsidR="00D20769" w:rsidRPr="002B1ECC" w:rsidRDefault="00D20769" w:rsidP="00D20769">
            <w:pPr>
              <w:spacing w:after="0"/>
              <w:jc w:val="right"/>
              <w:rPr>
                <w:rFonts w:ascii="Calibri" w:hAnsi="Calibri"/>
                <w:sz w:val="18"/>
                <w:szCs w:val="16"/>
              </w:rPr>
            </w:pPr>
            <w:r w:rsidRPr="002B1ECC">
              <w:rPr>
                <w:rFonts w:ascii="Calibri" w:hAnsi="Calibri"/>
                <w:sz w:val="18"/>
                <w:szCs w:val="16"/>
              </w:rPr>
              <w:t>219</w:t>
            </w:r>
          </w:p>
        </w:tc>
        <w:tc>
          <w:tcPr>
            <w:tcW w:w="492" w:type="pct"/>
            <w:shd w:val="clear" w:color="auto" w:fill="auto"/>
            <w:noWrap/>
            <w:vAlign w:val="bottom"/>
            <w:hideMark/>
          </w:tcPr>
          <w:p w:rsidR="00D20769" w:rsidRPr="002B1ECC" w:rsidRDefault="00D20769" w:rsidP="00D20769">
            <w:pPr>
              <w:spacing w:after="0"/>
              <w:jc w:val="right"/>
              <w:rPr>
                <w:rFonts w:ascii="Calibri" w:hAnsi="Calibri"/>
                <w:sz w:val="18"/>
                <w:szCs w:val="16"/>
              </w:rPr>
            </w:pPr>
            <w:r w:rsidRPr="002B1ECC">
              <w:rPr>
                <w:rFonts w:ascii="Calibri" w:hAnsi="Calibri"/>
                <w:sz w:val="18"/>
                <w:szCs w:val="16"/>
              </w:rPr>
              <w:t>2063</w:t>
            </w:r>
          </w:p>
        </w:tc>
      </w:tr>
      <w:tr w:rsidR="00D20769" w:rsidRPr="002B1ECC" w:rsidTr="00CB6B5A">
        <w:trPr>
          <w:trHeight w:val="170"/>
        </w:trPr>
        <w:tc>
          <w:tcPr>
            <w:tcW w:w="772" w:type="pct"/>
            <w:shd w:val="clear" w:color="auto" w:fill="D9D9D9" w:themeFill="background1" w:themeFillShade="D9"/>
            <w:noWrap/>
            <w:vAlign w:val="bottom"/>
          </w:tcPr>
          <w:p w:rsidR="00D20769" w:rsidRPr="002B1ECC" w:rsidRDefault="00D20769" w:rsidP="00D20769">
            <w:pPr>
              <w:spacing w:after="0"/>
              <w:rPr>
                <w:rFonts w:ascii="Calibri" w:hAnsi="Calibri"/>
                <w:sz w:val="18"/>
              </w:rPr>
            </w:pPr>
            <w:r w:rsidRPr="002B1ECC">
              <w:rPr>
                <w:rFonts w:ascii="Calibri" w:eastAsia="Times New Roman" w:hAnsi="Calibri" w:cs="Times New Roman"/>
                <w:b/>
                <w:bCs/>
                <w:sz w:val="18"/>
                <w:lang w:eastAsia="en-GB"/>
              </w:rPr>
              <w:t>2017-18</w:t>
            </w:r>
          </w:p>
        </w:tc>
        <w:tc>
          <w:tcPr>
            <w:tcW w:w="644" w:type="pct"/>
            <w:shd w:val="clear" w:color="auto" w:fill="D9D9D9" w:themeFill="background1" w:themeFillShade="D9"/>
            <w:noWrap/>
            <w:vAlign w:val="bottom"/>
          </w:tcPr>
          <w:p w:rsidR="00D20769" w:rsidRPr="002B1ECC" w:rsidRDefault="00D20769" w:rsidP="00D20769">
            <w:pPr>
              <w:spacing w:after="0"/>
              <w:ind w:firstLineChars="100" w:firstLine="180"/>
              <w:rPr>
                <w:rFonts w:ascii="Calibri" w:hAnsi="Calibri"/>
                <w:sz w:val="18"/>
              </w:rPr>
            </w:pPr>
          </w:p>
        </w:tc>
        <w:tc>
          <w:tcPr>
            <w:tcW w:w="527" w:type="pct"/>
            <w:shd w:val="clear" w:color="auto" w:fill="D9D9D9" w:themeFill="background1" w:themeFillShade="D9"/>
            <w:noWrap/>
            <w:vAlign w:val="bottom"/>
          </w:tcPr>
          <w:p w:rsidR="00D20769" w:rsidRPr="002B1ECC" w:rsidRDefault="00D20769" w:rsidP="00D20769">
            <w:pPr>
              <w:spacing w:after="0"/>
              <w:ind w:firstLineChars="100" w:firstLine="180"/>
              <w:rPr>
                <w:rFonts w:ascii="Calibri" w:hAnsi="Calibri"/>
                <w:sz w:val="18"/>
              </w:rPr>
            </w:pPr>
          </w:p>
        </w:tc>
        <w:tc>
          <w:tcPr>
            <w:tcW w:w="528" w:type="pct"/>
            <w:shd w:val="clear" w:color="auto" w:fill="D9D9D9" w:themeFill="background1" w:themeFillShade="D9"/>
            <w:noWrap/>
            <w:vAlign w:val="bottom"/>
          </w:tcPr>
          <w:p w:rsidR="00D20769" w:rsidRPr="002B1ECC" w:rsidRDefault="00D20769" w:rsidP="00D20769">
            <w:pPr>
              <w:spacing w:after="0"/>
              <w:ind w:firstLineChars="100" w:firstLine="180"/>
              <w:rPr>
                <w:rFonts w:ascii="Calibri" w:hAnsi="Calibri"/>
                <w:sz w:val="18"/>
              </w:rPr>
            </w:pPr>
          </w:p>
        </w:tc>
        <w:tc>
          <w:tcPr>
            <w:tcW w:w="734" w:type="pct"/>
            <w:shd w:val="clear" w:color="auto" w:fill="D9D9D9" w:themeFill="background1" w:themeFillShade="D9"/>
            <w:noWrap/>
            <w:vAlign w:val="bottom"/>
          </w:tcPr>
          <w:p w:rsidR="00D20769" w:rsidRPr="002B1ECC" w:rsidRDefault="00D20769" w:rsidP="00D20769">
            <w:pPr>
              <w:spacing w:after="0"/>
              <w:ind w:firstLineChars="100" w:firstLine="180"/>
              <w:rPr>
                <w:rFonts w:ascii="Calibri" w:hAnsi="Calibri"/>
                <w:sz w:val="18"/>
              </w:rPr>
            </w:pPr>
          </w:p>
        </w:tc>
        <w:tc>
          <w:tcPr>
            <w:tcW w:w="579" w:type="pct"/>
            <w:shd w:val="clear" w:color="auto" w:fill="D9D9D9" w:themeFill="background1" w:themeFillShade="D9"/>
            <w:noWrap/>
            <w:vAlign w:val="bottom"/>
          </w:tcPr>
          <w:p w:rsidR="00D20769" w:rsidRPr="002B1ECC" w:rsidRDefault="00D20769" w:rsidP="00D20769">
            <w:pPr>
              <w:spacing w:after="0"/>
              <w:ind w:firstLineChars="100" w:firstLine="180"/>
              <w:rPr>
                <w:rFonts w:ascii="Calibri" w:hAnsi="Calibri"/>
                <w:sz w:val="18"/>
              </w:rPr>
            </w:pPr>
          </w:p>
        </w:tc>
        <w:tc>
          <w:tcPr>
            <w:tcW w:w="724" w:type="pct"/>
            <w:shd w:val="clear" w:color="auto" w:fill="D9D9D9" w:themeFill="background1" w:themeFillShade="D9"/>
            <w:noWrap/>
            <w:vAlign w:val="bottom"/>
          </w:tcPr>
          <w:p w:rsidR="00D20769" w:rsidRPr="002B1ECC" w:rsidRDefault="00D20769" w:rsidP="00D20769">
            <w:pPr>
              <w:spacing w:after="0"/>
              <w:ind w:firstLineChars="100" w:firstLine="180"/>
              <w:rPr>
                <w:rFonts w:ascii="Calibri" w:hAnsi="Calibri"/>
                <w:sz w:val="18"/>
              </w:rPr>
            </w:pPr>
          </w:p>
        </w:tc>
        <w:tc>
          <w:tcPr>
            <w:tcW w:w="492" w:type="pct"/>
            <w:shd w:val="clear" w:color="auto" w:fill="D9D9D9" w:themeFill="background1" w:themeFillShade="D9"/>
            <w:noWrap/>
            <w:vAlign w:val="bottom"/>
          </w:tcPr>
          <w:p w:rsidR="00D20769" w:rsidRPr="002B1ECC" w:rsidRDefault="00D20769" w:rsidP="00D20769">
            <w:pPr>
              <w:spacing w:after="0"/>
              <w:ind w:firstLineChars="100" w:firstLine="180"/>
              <w:rPr>
                <w:rFonts w:ascii="Calibri" w:hAnsi="Calibri"/>
                <w:sz w:val="18"/>
              </w:rPr>
            </w:pPr>
          </w:p>
        </w:tc>
      </w:tr>
      <w:tr w:rsidR="00D20769" w:rsidRPr="002B1ECC" w:rsidTr="00CB6B5A">
        <w:trPr>
          <w:trHeight w:val="170"/>
        </w:trPr>
        <w:tc>
          <w:tcPr>
            <w:tcW w:w="772" w:type="pct"/>
            <w:shd w:val="clear" w:color="auto" w:fill="auto"/>
            <w:noWrap/>
            <w:vAlign w:val="bottom"/>
          </w:tcPr>
          <w:p w:rsidR="00D20769" w:rsidRPr="002B1ECC" w:rsidRDefault="00D20769" w:rsidP="00D20769">
            <w:pPr>
              <w:spacing w:after="0"/>
              <w:ind w:firstLineChars="100" w:firstLine="180"/>
              <w:rPr>
                <w:rFonts w:ascii="Calibri" w:hAnsi="Calibri"/>
                <w:sz w:val="18"/>
              </w:rPr>
            </w:pPr>
            <w:r w:rsidRPr="002B1ECC">
              <w:rPr>
                <w:rFonts w:ascii="Calibri" w:hAnsi="Calibri"/>
                <w:sz w:val="18"/>
              </w:rPr>
              <w:t>APRIL</w:t>
            </w:r>
          </w:p>
        </w:tc>
        <w:tc>
          <w:tcPr>
            <w:tcW w:w="644"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199</w:t>
            </w:r>
          </w:p>
        </w:tc>
        <w:tc>
          <w:tcPr>
            <w:tcW w:w="527"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461</w:t>
            </w:r>
          </w:p>
        </w:tc>
        <w:tc>
          <w:tcPr>
            <w:tcW w:w="528"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133</w:t>
            </w:r>
          </w:p>
        </w:tc>
        <w:tc>
          <w:tcPr>
            <w:tcW w:w="734"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1104</w:t>
            </w:r>
          </w:p>
        </w:tc>
        <w:tc>
          <w:tcPr>
            <w:tcW w:w="579"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0</w:t>
            </w:r>
          </w:p>
        </w:tc>
        <w:tc>
          <w:tcPr>
            <w:tcW w:w="724"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131</w:t>
            </w:r>
          </w:p>
        </w:tc>
        <w:tc>
          <w:tcPr>
            <w:tcW w:w="492"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2028</w:t>
            </w:r>
          </w:p>
        </w:tc>
      </w:tr>
      <w:tr w:rsidR="00D20769" w:rsidRPr="002B1ECC" w:rsidTr="00CB6B5A">
        <w:trPr>
          <w:trHeight w:val="170"/>
        </w:trPr>
        <w:tc>
          <w:tcPr>
            <w:tcW w:w="772" w:type="pct"/>
            <w:shd w:val="clear" w:color="auto" w:fill="auto"/>
            <w:noWrap/>
            <w:vAlign w:val="bottom"/>
          </w:tcPr>
          <w:p w:rsidR="00D20769" w:rsidRPr="002B1ECC" w:rsidRDefault="00D20769" w:rsidP="00D20769">
            <w:pPr>
              <w:spacing w:after="0"/>
              <w:ind w:firstLineChars="100" w:firstLine="180"/>
              <w:rPr>
                <w:rFonts w:ascii="Calibri" w:hAnsi="Calibri"/>
                <w:sz w:val="18"/>
              </w:rPr>
            </w:pPr>
            <w:r w:rsidRPr="002B1ECC">
              <w:rPr>
                <w:rFonts w:ascii="Calibri" w:hAnsi="Calibri"/>
                <w:sz w:val="18"/>
              </w:rPr>
              <w:t>MAY</w:t>
            </w:r>
          </w:p>
        </w:tc>
        <w:tc>
          <w:tcPr>
            <w:tcW w:w="644"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241</w:t>
            </w:r>
          </w:p>
        </w:tc>
        <w:tc>
          <w:tcPr>
            <w:tcW w:w="527"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366</w:t>
            </w:r>
          </w:p>
        </w:tc>
        <w:tc>
          <w:tcPr>
            <w:tcW w:w="528"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146</w:t>
            </w:r>
          </w:p>
        </w:tc>
        <w:tc>
          <w:tcPr>
            <w:tcW w:w="734"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1446</w:t>
            </w:r>
          </w:p>
        </w:tc>
        <w:tc>
          <w:tcPr>
            <w:tcW w:w="579"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0</w:t>
            </w:r>
          </w:p>
        </w:tc>
        <w:tc>
          <w:tcPr>
            <w:tcW w:w="724"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241</w:t>
            </w:r>
          </w:p>
        </w:tc>
        <w:tc>
          <w:tcPr>
            <w:tcW w:w="492" w:type="pct"/>
            <w:shd w:val="clear" w:color="auto" w:fill="auto"/>
            <w:noWrap/>
            <w:vAlign w:val="bottom"/>
          </w:tcPr>
          <w:p w:rsidR="00D20769" w:rsidRPr="002B1ECC" w:rsidRDefault="00D20769" w:rsidP="00D20769">
            <w:pPr>
              <w:spacing w:after="0"/>
              <w:ind w:firstLine="160"/>
              <w:jc w:val="right"/>
              <w:rPr>
                <w:rFonts w:ascii="Calibri" w:hAnsi="Calibri"/>
                <w:sz w:val="18"/>
              </w:rPr>
            </w:pPr>
            <w:r w:rsidRPr="002B1ECC">
              <w:rPr>
                <w:rFonts w:ascii="Calibri" w:hAnsi="Calibri"/>
                <w:sz w:val="18"/>
              </w:rPr>
              <w:t>2440</w:t>
            </w:r>
          </w:p>
        </w:tc>
      </w:tr>
      <w:tr w:rsidR="00D20769" w:rsidRPr="002B1ECC" w:rsidTr="00CB6B5A">
        <w:trPr>
          <w:trHeight w:val="170"/>
        </w:trPr>
        <w:tc>
          <w:tcPr>
            <w:tcW w:w="772" w:type="pct"/>
            <w:shd w:val="clear" w:color="auto" w:fill="auto"/>
            <w:noWrap/>
            <w:vAlign w:val="bottom"/>
          </w:tcPr>
          <w:p w:rsidR="00D20769" w:rsidRPr="002B1ECC" w:rsidRDefault="00D20769" w:rsidP="00D20769">
            <w:pPr>
              <w:spacing w:after="0"/>
              <w:ind w:firstLineChars="100" w:firstLine="200"/>
              <w:rPr>
                <w:rFonts w:ascii="Calibri" w:hAnsi="Calibri"/>
                <w:sz w:val="20"/>
              </w:rPr>
            </w:pPr>
            <w:r w:rsidRPr="002B1ECC">
              <w:rPr>
                <w:rFonts w:ascii="Calibri" w:hAnsi="Calibri"/>
                <w:sz w:val="20"/>
              </w:rPr>
              <w:t>JUNE</w:t>
            </w:r>
          </w:p>
        </w:tc>
        <w:tc>
          <w:tcPr>
            <w:tcW w:w="64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139</w:t>
            </w:r>
          </w:p>
        </w:tc>
        <w:tc>
          <w:tcPr>
            <w:tcW w:w="527"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399</w:t>
            </w:r>
          </w:p>
        </w:tc>
        <w:tc>
          <w:tcPr>
            <w:tcW w:w="528"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140</w:t>
            </w:r>
          </w:p>
        </w:tc>
        <w:tc>
          <w:tcPr>
            <w:tcW w:w="73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1475</w:t>
            </w:r>
          </w:p>
        </w:tc>
        <w:tc>
          <w:tcPr>
            <w:tcW w:w="579"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0</w:t>
            </w:r>
          </w:p>
        </w:tc>
        <w:tc>
          <w:tcPr>
            <w:tcW w:w="72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194</w:t>
            </w:r>
          </w:p>
        </w:tc>
        <w:tc>
          <w:tcPr>
            <w:tcW w:w="492"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2347</w:t>
            </w:r>
          </w:p>
        </w:tc>
      </w:tr>
      <w:tr w:rsidR="00D20769" w:rsidRPr="002B1ECC" w:rsidTr="00CB6B5A">
        <w:trPr>
          <w:trHeight w:val="170"/>
        </w:trPr>
        <w:tc>
          <w:tcPr>
            <w:tcW w:w="772" w:type="pct"/>
            <w:shd w:val="clear" w:color="auto" w:fill="auto"/>
            <w:noWrap/>
            <w:vAlign w:val="bottom"/>
          </w:tcPr>
          <w:p w:rsidR="00D20769" w:rsidRPr="002B1ECC" w:rsidRDefault="00D20769" w:rsidP="00D20769">
            <w:pPr>
              <w:spacing w:after="0"/>
              <w:ind w:firstLineChars="100" w:firstLine="200"/>
              <w:rPr>
                <w:rFonts w:ascii="Calibri" w:hAnsi="Calibri"/>
                <w:sz w:val="20"/>
              </w:rPr>
            </w:pPr>
            <w:r w:rsidRPr="002B1ECC">
              <w:rPr>
                <w:rFonts w:ascii="Calibri" w:hAnsi="Calibri"/>
                <w:sz w:val="20"/>
              </w:rPr>
              <w:t>JULY</w:t>
            </w:r>
          </w:p>
        </w:tc>
        <w:tc>
          <w:tcPr>
            <w:tcW w:w="64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153</w:t>
            </w:r>
          </w:p>
        </w:tc>
        <w:tc>
          <w:tcPr>
            <w:tcW w:w="527"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283</w:t>
            </w:r>
          </w:p>
        </w:tc>
        <w:tc>
          <w:tcPr>
            <w:tcW w:w="528"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170</w:t>
            </w:r>
          </w:p>
        </w:tc>
        <w:tc>
          <w:tcPr>
            <w:tcW w:w="73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1982</w:t>
            </w:r>
          </w:p>
        </w:tc>
        <w:tc>
          <w:tcPr>
            <w:tcW w:w="579"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0</w:t>
            </w:r>
          </w:p>
        </w:tc>
        <w:tc>
          <w:tcPr>
            <w:tcW w:w="72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147</w:t>
            </w:r>
          </w:p>
        </w:tc>
        <w:tc>
          <w:tcPr>
            <w:tcW w:w="492"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2735</w:t>
            </w:r>
          </w:p>
        </w:tc>
      </w:tr>
      <w:tr w:rsidR="00D20769" w:rsidRPr="002B1ECC" w:rsidTr="00CB6B5A">
        <w:trPr>
          <w:trHeight w:val="170"/>
        </w:trPr>
        <w:tc>
          <w:tcPr>
            <w:tcW w:w="772" w:type="pct"/>
            <w:shd w:val="clear" w:color="auto" w:fill="auto"/>
            <w:noWrap/>
            <w:vAlign w:val="bottom"/>
          </w:tcPr>
          <w:p w:rsidR="00D20769" w:rsidRPr="002B1ECC" w:rsidRDefault="00D20769" w:rsidP="00D20769">
            <w:pPr>
              <w:spacing w:after="0"/>
              <w:ind w:firstLineChars="100" w:firstLine="200"/>
              <w:rPr>
                <w:rFonts w:ascii="Calibri" w:hAnsi="Calibri"/>
                <w:sz w:val="20"/>
              </w:rPr>
            </w:pPr>
            <w:r w:rsidRPr="002B1ECC">
              <w:rPr>
                <w:rFonts w:ascii="Calibri" w:hAnsi="Calibri"/>
                <w:sz w:val="20"/>
              </w:rPr>
              <w:t>AUGUST</w:t>
            </w:r>
          </w:p>
        </w:tc>
        <w:tc>
          <w:tcPr>
            <w:tcW w:w="64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117</w:t>
            </w:r>
          </w:p>
        </w:tc>
        <w:tc>
          <w:tcPr>
            <w:tcW w:w="527"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340</w:t>
            </w:r>
          </w:p>
        </w:tc>
        <w:tc>
          <w:tcPr>
            <w:tcW w:w="528"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157</w:t>
            </w:r>
          </w:p>
        </w:tc>
        <w:tc>
          <w:tcPr>
            <w:tcW w:w="73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1468</w:t>
            </w:r>
          </w:p>
        </w:tc>
        <w:tc>
          <w:tcPr>
            <w:tcW w:w="579"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0</w:t>
            </w:r>
          </w:p>
        </w:tc>
        <w:tc>
          <w:tcPr>
            <w:tcW w:w="72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97</w:t>
            </w:r>
          </w:p>
        </w:tc>
        <w:tc>
          <w:tcPr>
            <w:tcW w:w="492"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2179</w:t>
            </w:r>
          </w:p>
        </w:tc>
      </w:tr>
      <w:tr w:rsidR="00D20769" w:rsidRPr="002B1ECC" w:rsidTr="00CB6B5A">
        <w:trPr>
          <w:trHeight w:val="170"/>
        </w:trPr>
        <w:tc>
          <w:tcPr>
            <w:tcW w:w="772" w:type="pct"/>
            <w:shd w:val="clear" w:color="auto" w:fill="auto"/>
            <w:noWrap/>
            <w:vAlign w:val="bottom"/>
          </w:tcPr>
          <w:p w:rsidR="00D20769" w:rsidRPr="002B1ECC" w:rsidRDefault="00D20769" w:rsidP="00D20769">
            <w:pPr>
              <w:spacing w:after="0"/>
              <w:ind w:firstLineChars="100" w:firstLine="200"/>
              <w:rPr>
                <w:rFonts w:ascii="Calibri" w:hAnsi="Calibri"/>
                <w:sz w:val="20"/>
              </w:rPr>
            </w:pPr>
            <w:r w:rsidRPr="002B1ECC">
              <w:rPr>
                <w:rFonts w:ascii="Calibri" w:hAnsi="Calibri"/>
                <w:sz w:val="20"/>
              </w:rPr>
              <w:t>SEPTEMBER</w:t>
            </w:r>
          </w:p>
        </w:tc>
        <w:tc>
          <w:tcPr>
            <w:tcW w:w="64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234</w:t>
            </w:r>
          </w:p>
        </w:tc>
        <w:tc>
          <w:tcPr>
            <w:tcW w:w="527"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247</w:t>
            </w:r>
          </w:p>
        </w:tc>
        <w:tc>
          <w:tcPr>
            <w:tcW w:w="528"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136</w:t>
            </w:r>
          </w:p>
        </w:tc>
        <w:tc>
          <w:tcPr>
            <w:tcW w:w="73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1323</w:t>
            </w:r>
          </w:p>
        </w:tc>
        <w:tc>
          <w:tcPr>
            <w:tcW w:w="579"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0</w:t>
            </w:r>
          </w:p>
        </w:tc>
        <w:tc>
          <w:tcPr>
            <w:tcW w:w="72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154</w:t>
            </w:r>
          </w:p>
        </w:tc>
        <w:tc>
          <w:tcPr>
            <w:tcW w:w="492"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2094</w:t>
            </w:r>
          </w:p>
        </w:tc>
      </w:tr>
      <w:tr w:rsidR="00D20769" w:rsidRPr="002B1ECC" w:rsidTr="00CB6B5A">
        <w:trPr>
          <w:trHeight w:val="170"/>
        </w:trPr>
        <w:tc>
          <w:tcPr>
            <w:tcW w:w="772" w:type="pct"/>
            <w:shd w:val="clear" w:color="auto" w:fill="auto"/>
            <w:noWrap/>
            <w:vAlign w:val="bottom"/>
          </w:tcPr>
          <w:p w:rsidR="00D20769" w:rsidRPr="002B1ECC" w:rsidRDefault="00D20769" w:rsidP="00D20769">
            <w:pPr>
              <w:spacing w:after="0"/>
              <w:ind w:firstLineChars="100" w:firstLine="200"/>
              <w:rPr>
                <w:rFonts w:ascii="Calibri" w:hAnsi="Calibri"/>
                <w:sz w:val="20"/>
              </w:rPr>
            </w:pPr>
            <w:r w:rsidRPr="002B1ECC">
              <w:rPr>
                <w:rFonts w:ascii="Calibri" w:hAnsi="Calibri"/>
                <w:sz w:val="20"/>
              </w:rPr>
              <w:t>OCTOBER</w:t>
            </w:r>
          </w:p>
        </w:tc>
        <w:tc>
          <w:tcPr>
            <w:tcW w:w="64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196</w:t>
            </w:r>
          </w:p>
        </w:tc>
        <w:tc>
          <w:tcPr>
            <w:tcW w:w="527"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108</w:t>
            </w:r>
          </w:p>
        </w:tc>
        <w:tc>
          <w:tcPr>
            <w:tcW w:w="528"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127</w:t>
            </w:r>
          </w:p>
        </w:tc>
        <w:tc>
          <w:tcPr>
            <w:tcW w:w="73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1093</w:t>
            </w:r>
          </w:p>
        </w:tc>
        <w:tc>
          <w:tcPr>
            <w:tcW w:w="579"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4</w:t>
            </w:r>
          </w:p>
        </w:tc>
        <w:tc>
          <w:tcPr>
            <w:tcW w:w="724"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202</w:t>
            </w:r>
          </w:p>
        </w:tc>
        <w:tc>
          <w:tcPr>
            <w:tcW w:w="492" w:type="pct"/>
            <w:shd w:val="clear" w:color="auto" w:fill="auto"/>
            <w:noWrap/>
            <w:vAlign w:val="bottom"/>
          </w:tcPr>
          <w:p w:rsidR="00D20769" w:rsidRPr="002B1ECC" w:rsidRDefault="00D20769" w:rsidP="00D20769">
            <w:pPr>
              <w:spacing w:after="0"/>
              <w:jc w:val="right"/>
              <w:rPr>
                <w:rFonts w:ascii="Calibri" w:hAnsi="Calibri"/>
                <w:sz w:val="20"/>
              </w:rPr>
            </w:pPr>
            <w:r w:rsidRPr="002B1ECC">
              <w:rPr>
                <w:rFonts w:ascii="Calibri" w:hAnsi="Calibri"/>
                <w:sz w:val="20"/>
              </w:rPr>
              <w:t>1730</w:t>
            </w:r>
          </w:p>
        </w:tc>
      </w:tr>
      <w:tr w:rsidR="00CB6B5A" w:rsidRPr="005E4042" w:rsidTr="00CB6B5A">
        <w:trPr>
          <w:trHeight w:val="170"/>
        </w:trPr>
        <w:tc>
          <w:tcPr>
            <w:tcW w:w="772" w:type="pct"/>
            <w:shd w:val="clear" w:color="auto" w:fill="auto"/>
            <w:noWrap/>
            <w:vAlign w:val="bottom"/>
          </w:tcPr>
          <w:p w:rsidR="00CB6B5A" w:rsidRPr="005E4042" w:rsidRDefault="00CB6B5A" w:rsidP="00CB6B5A">
            <w:pPr>
              <w:autoSpaceDE/>
              <w:autoSpaceDN/>
              <w:adjustRightInd/>
              <w:spacing w:after="0"/>
              <w:ind w:firstLineChars="100" w:firstLine="200"/>
              <w:jc w:val="left"/>
              <w:rPr>
                <w:rFonts w:ascii="Calibri" w:eastAsia="Times New Roman" w:hAnsi="Calibri" w:cs="Times New Roman"/>
                <w:sz w:val="20"/>
                <w:szCs w:val="22"/>
                <w:lang w:eastAsia="en-GB"/>
              </w:rPr>
            </w:pPr>
            <w:r w:rsidRPr="005E4042">
              <w:rPr>
                <w:rFonts w:ascii="Calibri" w:hAnsi="Calibri"/>
                <w:sz w:val="20"/>
                <w:szCs w:val="22"/>
              </w:rPr>
              <w:t>NOVEMBER</w:t>
            </w:r>
          </w:p>
        </w:tc>
        <w:tc>
          <w:tcPr>
            <w:tcW w:w="644" w:type="pct"/>
            <w:shd w:val="clear" w:color="auto" w:fill="auto"/>
            <w:noWrap/>
            <w:vAlign w:val="bottom"/>
          </w:tcPr>
          <w:p w:rsidR="00CB6B5A" w:rsidRPr="005E4042" w:rsidRDefault="00CB6B5A" w:rsidP="00CB6B5A">
            <w:pPr>
              <w:spacing w:after="0"/>
              <w:jc w:val="right"/>
              <w:rPr>
                <w:rFonts w:ascii="Calibri" w:hAnsi="Calibri"/>
                <w:sz w:val="20"/>
                <w:szCs w:val="22"/>
              </w:rPr>
            </w:pPr>
            <w:r w:rsidRPr="005E4042">
              <w:rPr>
                <w:rFonts w:ascii="Calibri" w:hAnsi="Calibri"/>
                <w:sz w:val="20"/>
                <w:szCs w:val="22"/>
              </w:rPr>
              <w:t>225</w:t>
            </w:r>
          </w:p>
        </w:tc>
        <w:tc>
          <w:tcPr>
            <w:tcW w:w="527" w:type="pct"/>
            <w:shd w:val="clear" w:color="auto" w:fill="auto"/>
            <w:noWrap/>
            <w:vAlign w:val="bottom"/>
          </w:tcPr>
          <w:p w:rsidR="00CB6B5A" w:rsidRPr="005E4042" w:rsidRDefault="00CB6B5A" w:rsidP="00CB6B5A">
            <w:pPr>
              <w:spacing w:after="0"/>
              <w:jc w:val="right"/>
              <w:rPr>
                <w:rFonts w:ascii="Calibri" w:hAnsi="Calibri"/>
                <w:sz w:val="20"/>
                <w:szCs w:val="22"/>
              </w:rPr>
            </w:pPr>
            <w:r w:rsidRPr="005E4042">
              <w:rPr>
                <w:rFonts w:ascii="Calibri" w:hAnsi="Calibri"/>
                <w:sz w:val="20"/>
                <w:szCs w:val="22"/>
              </w:rPr>
              <w:t>220</w:t>
            </w:r>
          </w:p>
        </w:tc>
        <w:tc>
          <w:tcPr>
            <w:tcW w:w="528" w:type="pct"/>
            <w:shd w:val="clear" w:color="auto" w:fill="auto"/>
            <w:noWrap/>
            <w:vAlign w:val="bottom"/>
          </w:tcPr>
          <w:p w:rsidR="00CB6B5A" w:rsidRPr="005E4042" w:rsidRDefault="00CB6B5A" w:rsidP="00CB6B5A">
            <w:pPr>
              <w:spacing w:after="0"/>
              <w:jc w:val="right"/>
              <w:rPr>
                <w:rFonts w:ascii="Calibri" w:hAnsi="Calibri"/>
                <w:sz w:val="20"/>
                <w:szCs w:val="22"/>
              </w:rPr>
            </w:pPr>
            <w:r w:rsidRPr="005E4042">
              <w:rPr>
                <w:rFonts w:ascii="Calibri" w:hAnsi="Calibri"/>
                <w:sz w:val="20"/>
                <w:szCs w:val="22"/>
              </w:rPr>
              <w:t>120</w:t>
            </w:r>
          </w:p>
        </w:tc>
        <w:tc>
          <w:tcPr>
            <w:tcW w:w="734" w:type="pct"/>
            <w:shd w:val="clear" w:color="auto" w:fill="auto"/>
            <w:noWrap/>
            <w:vAlign w:val="bottom"/>
          </w:tcPr>
          <w:p w:rsidR="00CB6B5A" w:rsidRPr="005E4042" w:rsidRDefault="00CB6B5A" w:rsidP="00CB6B5A">
            <w:pPr>
              <w:spacing w:after="0"/>
              <w:jc w:val="right"/>
              <w:rPr>
                <w:rFonts w:ascii="Calibri" w:hAnsi="Calibri"/>
                <w:sz w:val="20"/>
                <w:szCs w:val="22"/>
              </w:rPr>
            </w:pPr>
            <w:r w:rsidRPr="005E4042">
              <w:rPr>
                <w:rFonts w:ascii="Calibri" w:hAnsi="Calibri"/>
                <w:sz w:val="20"/>
                <w:szCs w:val="22"/>
              </w:rPr>
              <w:t>1151</w:t>
            </w:r>
          </w:p>
        </w:tc>
        <w:tc>
          <w:tcPr>
            <w:tcW w:w="579" w:type="pct"/>
            <w:shd w:val="clear" w:color="auto" w:fill="auto"/>
            <w:noWrap/>
            <w:vAlign w:val="bottom"/>
          </w:tcPr>
          <w:p w:rsidR="00CB6B5A" w:rsidRPr="005E4042" w:rsidRDefault="00CB6B5A" w:rsidP="00CB6B5A">
            <w:pPr>
              <w:spacing w:after="0"/>
              <w:jc w:val="right"/>
              <w:rPr>
                <w:rFonts w:ascii="Calibri" w:hAnsi="Calibri"/>
                <w:sz w:val="20"/>
                <w:szCs w:val="22"/>
              </w:rPr>
            </w:pPr>
            <w:r w:rsidRPr="005E4042">
              <w:rPr>
                <w:rFonts w:ascii="Calibri" w:hAnsi="Calibri"/>
                <w:sz w:val="20"/>
                <w:szCs w:val="22"/>
              </w:rPr>
              <w:t>1</w:t>
            </w:r>
          </w:p>
        </w:tc>
        <w:tc>
          <w:tcPr>
            <w:tcW w:w="724" w:type="pct"/>
            <w:shd w:val="clear" w:color="auto" w:fill="auto"/>
            <w:noWrap/>
            <w:vAlign w:val="bottom"/>
          </w:tcPr>
          <w:p w:rsidR="00CB6B5A" w:rsidRPr="005E4042" w:rsidRDefault="00CB6B5A" w:rsidP="00CB6B5A">
            <w:pPr>
              <w:spacing w:after="0"/>
              <w:jc w:val="right"/>
              <w:rPr>
                <w:rFonts w:ascii="Calibri" w:hAnsi="Calibri"/>
                <w:sz w:val="20"/>
                <w:szCs w:val="22"/>
              </w:rPr>
            </w:pPr>
            <w:r w:rsidRPr="005E4042">
              <w:rPr>
                <w:rFonts w:ascii="Calibri" w:hAnsi="Calibri"/>
                <w:sz w:val="20"/>
                <w:szCs w:val="22"/>
              </w:rPr>
              <w:t>104</w:t>
            </w:r>
          </w:p>
        </w:tc>
        <w:tc>
          <w:tcPr>
            <w:tcW w:w="492" w:type="pct"/>
            <w:shd w:val="clear" w:color="auto" w:fill="auto"/>
            <w:noWrap/>
            <w:vAlign w:val="bottom"/>
          </w:tcPr>
          <w:p w:rsidR="00CB6B5A" w:rsidRPr="005E4042" w:rsidRDefault="00CB6B5A" w:rsidP="00CB6B5A">
            <w:pPr>
              <w:spacing w:after="0"/>
              <w:jc w:val="right"/>
              <w:rPr>
                <w:rFonts w:ascii="Calibri" w:hAnsi="Calibri"/>
                <w:sz w:val="20"/>
                <w:szCs w:val="22"/>
              </w:rPr>
            </w:pPr>
            <w:r w:rsidRPr="005E4042">
              <w:rPr>
                <w:rFonts w:ascii="Calibri" w:hAnsi="Calibri"/>
                <w:sz w:val="20"/>
                <w:szCs w:val="22"/>
              </w:rPr>
              <w:t>1821</w:t>
            </w:r>
          </w:p>
        </w:tc>
      </w:tr>
    </w:tbl>
    <w:p w:rsidR="00D20769" w:rsidRPr="005E4042" w:rsidRDefault="00D20769" w:rsidP="0069758B">
      <w:pPr>
        <w:pStyle w:val="Heading2"/>
      </w:pPr>
      <w:bookmarkStart w:id="10" w:name="_Toc503454138"/>
      <w:r w:rsidRPr="005E4042">
        <w:t>Provider Detail – Lancashire Residents</w:t>
      </w:r>
      <w:bookmarkEnd w:id="10"/>
    </w:p>
    <w:p w:rsidR="00D20769" w:rsidRPr="005E4042" w:rsidRDefault="00D20769" w:rsidP="00D20769">
      <w:pPr>
        <w:spacing w:after="0" w:line="259" w:lineRule="auto"/>
        <w:rPr>
          <w:rFonts w:cs="Arial"/>
        </w:rPr>
      </w:pPr>
    </w:p>
    <w:p w:rsidR="00D20769" w:rsidRPr="005E4042" w:rsidRDefault="00D20769" w:rsidP="00D20769">
      <w:pPr>
        <w:spacing w:after="0" w:line="259" w:lineRule="auto"/>
        <w:rPr>
          <w:rFonts w:cs="Arial"/>
        </w:rPr>
      </w:pPr>
      <w:r w:rsidRPr="005E4042">
        <w:rPr>
          <w:rFonts w:cs="Arial"/>
        </w:rPr>
        <w:t xml:space="preserve">The full provider list of the </w:t>
      </w:r>
      <w:r w:rsidR="005E4042" w:rsidRPr="005E4042">
        <w:rPr>
          <w:rFonts w:cs="Arial"/>
        </w:rPr>
        <w:t>Nov-</w:t>
      </w:r>
      <w:r w:rsidRPr="005E4042">
        <w:rPr>
          <w:rFonts w:cs="Arial"/>
        </w:rPr>
        <w:t>17 total of 4</w:t>
      </w:r>
      <w:r w:rsidR="005E4042" w:rsidRPr="005E4042">
        <w:rPr>
          <w:rFonts w:cs="Arial"/>
        </w:rPr>
        <w:t>547</w:t>
      </w:r>
      <w:r w:rsidRPr="005E4042">
        <w:rPr>
          <w:rFonts w:cs="Arial"/>
        </w:rPr>
        <w:t xml:space="preserve"> days was as follows and shows that Lancashire Teaching Hospitals accounted for </w:t>
      </w:r>
      <w:r w:rsidR="005E4042" w:rsidRPr="005E4042">
        <w:rPr>
          <w:rFonts w:cs="Arial"/>
        </w:rPr>
        <w:t>59.5</w:t>
      </w:r>
      <w:r w:rsidRPr="005E4042">
        <w:rPr>
          <w:rFonts w:cs="Arial"/>
        </w:rPr>
        <w:t>% of the social care delays:</w:t>
      </w:r>
    </w:p>
    <w:p w:rsidR="00D20769" w:rsidRPr="005E4042" w:rsidRDefault="00D20769" w:rsidP="00D20769">
      <w:pPr>
        <w:spacing w:after="0" w:line="259" w:lineRule="auto"/>
        <w:rPr>
          <w:rFonts w:cs="Arial"/>
        </w:rPr>
      </w:pPr>
    </w:p>
    <w:tbl>
      <w:tblPr>
        <w:tblW w:w="47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1"/>
        <w:gridCol w:w="981"/>
        <w:gridCol w:w="1153"/>
        <w:gridCol w:w="940"/>
        <w:gridCol w:w="1080"/>
        <w:gridCol w:w="1016"/>
      </w:tblGrid>
      <w:tr w:rsidR="00544984" w:rsidRPr="005E4042" w:rsidTr="00FA0AC2">
        <w:trPr>
          <w:trHeight w:val="437"/>
        </w:trPr>
        <w:tc>
          <w:tcPr>
            <w:tcW w:w="1974" w:type="pct"/>
            <w:shd w:val="clear" w:color="4F81BD" w:fill="4F81BD"/>
            <w:noWrap/>
            <w:vAlign w:val="bottom"/>
            <w:hideMark/>
          </w:tcPr>
          <w:p w:rsidR="00544984" w:rsidRPr="00544984" w:rsidRDefault="005E4042" w:rsidP="005E4042">
            <w:pPr>
              <w:autoSpaceDE/>
              <w:autoSpaceDN/>
              <w:adjustRightInd/>
              <w:spacing w:after="0"/>
              <w:jc w:val="left"/>
              <w:rPr>
                <w:rFonts w:ascii="Calibri" w:eastAsia="Times New Roman" w:hAnsi="Calibri" w:cs="Times New Roman"/>
                <w:b/>
                <w:bCs/>
                <w:color w:val="FFFFFF"/>
                <w:sz w:val="20"/>
                <w:szCs w:val="22"/>
                <w:lang w:eastAsia="en-GB"/>
              </w:rPr>
            </w:pPr>
            <w:r w:rsidRPr="005E4042">
              <w:rPr>
                <w:rFonts w:ascii="Calibri" w:eastAsia="Times New Roman" w:hAnsi="Calibri" w:cs="Times New Roman"/>
                <w:b/>
                <w:bCs/>
                <w:color w:val="FFFFFF"/>
                <w:lang w:eastAsia="en-GB"/>
              </w:rPr>
              <w:t>Provider (Nov-17 totals)</w:t>
            </w:r>
          </w:p>
        </w:tc>
        <w:tc>
          <w:tcPr>
            <w:tcW w:w="574" w:type="pct"/>
            <w:shd w:val="clear" w:color="4F81BD" w:fill="4F81BD"/>
            <w:noWrap/>
            <w:vAlign w:val="bottom"/>
            <w:hideMark/>
          </w:tcPr>
          <w:p w:rsidR="00544984" w:rsidRPr="00544984" w:rsidRDefault="00544984" w:rsidP="005E4042">
            <w:pPr>
              <w:autoSpaceDE/>
              <w:autoSpaceDN/>
              <w:adjustRightInd/>
              <w:spacing w:after="0"/>
              <w:jc w:val="left"/>
              <w:rPr>
                <w:rFonts w:ascii="Calibri" w:eastAsia="Times New Roman" w:hAnsi="Calibri" w:cs="Times New Roman"/>
                <w:b/>
                <w:bCs/>
                <w:color w:val="FFFFFF"/>
                <w:sz w:val="20"/>
                <w:szCs w:val="22"/>
                <w:lang w:eastAsia="en-GB"/>
              </w:rPr>
            </w:pPr>
            <w:r w:rsidRPr="00544984">
              <w:rPr>
                <w:rFonts w:ascii="Calibri" w:eastAsia="Times New Roman" w:hAnsi="Calibri" w:cs="Times New Roman"/>
                <w:b/>
                <w:bCs/>
                <w:color w:val="FFFFFF"/>
                <w:sz w:val="20"/>
                <w:szCs w:val="22"/>
                <w:lang w:eastAsia="en-GB"/>
              </w:rPr>
              <w:t>Sum of NHS Days</w:t>
            </w:r>
          </w:p>
        </w:tc>
        <w:tc>
          <w:tcPr>
            <w:tcW w:w="675" w:type="pct"/>
            <w:shd w:val="clear" w:color="4F81BD" w:fill="4F81BD"/>
            <w:noWrap/>
            <w:vAlign w:val="bottom"/>
            <w:hideMark/>
          </w:tcPr>
          <w:p w:rsidR="00544984" w:rsidRPr="00544984" w:rsidRDefault="00544984" w:rsidP="005E4042">
            <w:pPr>
              <w:autoSpaceDE/>
              <w:autoSpaceDN/>
              <w:adjustRightInd/>
              <w:spacing w:after="0"/>
              <w:jc w:val="left"/>
              <w:rPr>
                <w:rFonts w:ascii="Calibri" w:eastAsia="Times New Roman" w:hAnsi="Calibri" w:cs="Times New Roman"/>
                <w:b/>
                <w:bCs/>
                <w:color w:val="FFFFFF"/>
                <w:sz w:val="20"/>
                <w:szCs w:val="22"/>
                <w:lang w:eastAsia="en-GB"/>
              </w:rPr>
            </w:pPr>
            <w:r w:rsidRPr="00544984">
              <w:rPr>
                <w:rFonts w:ascii="Calibri" w:eastAsia="Times New Roman" w:hAnsi="Calibri" w:cs="Times New Roman"/>
                <w:b/>
                <w:bCs/>
                <w:color w:val="FFFFFF"/>
                <w:sz w:val="20"/>
                <w:szCs w:val="22"/>
                <w:lang w:eastAsia="en-GB"/>
              </w:rPr>
              <w:t>Sum of Social Care Days</w:t>
            </w:r>
          </w:p>
        </w:tc>
        <w:tc>
          <w:tcPr>
            <w:tcW w:w="550" w:type="pct"/>
            <w:shd w:val="clear" w:color="4F81BD" w:fill="4F81BD"/>
          </w:tcPr>
          <w:p w:rsidR="00544984" w:rsidRPr="005E4042" w:rsidRDefault="00544984" w:rsidP="005E4042">
            <w:pPr>
              <w:autoSpaceDE/>
              <w:autoSpaceDN/>
              <w:adjustRightInd/>
              <w:spacing w:after="0"/>
              <w:jc w:val="left"/>
              <w:rPr>
                <w:rFonts w:ascii="Calibri" w:eastAsia="Times New Roman" w:hAnsi="Calibri" w:cs="Times New Roman"/>
                <w:b/>
                <w:bCs/>
                <w:color w:val="FFFFFF"/>
                <w:sz w:val="20"/>
                <w:szCs w:val="22"/>
                <w:lang w:eastAsia="en-GB"/>
              </w:rPr>
            </w:pPr>
            <w:r w:rsidRPr="005E4042">
              <w:rPr>
                <w:rFonts w:ascii="Calibri" w:eastAsia="Times New Roman" w:hAnsi="Calibri" w:cs="Times New Roman"/>
                <w:b/>
                <w:bCs/>
                <w:color w:val="FFFFFF"/>
                <w:sz w:val="20"/>
                <w:lang w:eastAsia="en-GB"/>
              </w:rPr>
              <w:t>% of Social Care Days</w:t>
            </w:r>
          </w:p>
        </w:tc>
        <w:tc>
          <w:tcPr>
            <w:tcW w:w="632" w:type="pct"/>
            <w:shd w:val="clear" w:color="4F81BD" w:fill="4F81BD"/>
            <w:noWrap/>
            <w:vAlign w:val="bottom"/>
            <w:hideMark/>
          </w:tcPr>
          <w:p w:rsidR="00544984" w:rsidRPr="00544984" w:rsidRDefault="00544984" w:rsidP="005E4042">
            <w:pPr>
              <w:autoSpaceDE/>
              <w:autoSpaceDN/>
              <w:adjustRightInd/>
              <w:spacing w:after="0"/>
              <w:jc w:val="left"/>
              <w:rPr>
                <w:rFonts w:ascii="Calibri" w:eastAsia="Times New Roman" w:hAnsi="Calibri" w:cs="Times New Roman"/>
                <w:b/>
                <w:bCs/>
                <w:color w:val="FFFFFF"/>
                <w:sz w:val="20"/>
                <w:szCs w:val="22"/>
                <w:lang w:eastAsia="en-GB"/>
              </w:rPr>
            </w:pPr>
            <w:r w:rsidRPr="00544984">
              <w:rPr>
                <w:rFonts w:ascii="Calibri" w:eastAsia="Times New Roman" w:hAnsi="Calibri" w:cs="Times New Roman"/>
                <w:b/>
                <w:bCs/>
                <w:color w:val="FFFFFF"/>
                <w:sz w:val="20"/>
                <w:szCs w:val="22"/>
                <w:lang w:eastAsia="en-GB"/>
              </w:rPr>
              <w:t>Sum of NHS and Social Care Days</w:t>
            </w:r>
          </w:p>
        </w:tc>
        <w:tc>
          <w:tcPr>
            <w:tcW w:w="595" w:type="pct"/>
            <w:shd w:val="clear" w:color="4F81BD" w:fill="4F81BD"/>
            <w:noWrap/>
            <w:vAlign w:val="bottom"/>
            <w:hideMark/>
          </w:tcPr>
          <w:p w:rsidR="00544984" w:rsidRPr="00544984" w:rsidRDefault="00544984" w:rsidP="005E4042">
            <w:pPr>
              <w:autoSpaceDE/>
              <w:autoSpaceDN/>
              <w:adjustRightInd/>
              <w:spacing w:after="0"/>
              <w:jc w:val="left"/>
              <w:rPr>
                <w:rFonts w:ascii="Calibri" w:eastAsia="Times New Roman" w:hAnsi="Calibri" w:cs="Times New Roman"/>
                <w:b/>
                <w:bCs/>
                <w:color w:val="FFFFFF"/>
                <w:sz w:val="20"/>
                <w:szCs w:val="22"/>
                <w:lang w:eastAsia="en-GB"/>
              </w:rPr>
            </w:pPr>
            <w:r w:rsidRPr="00544984">
              <w:rPr>
                <w:rFonts w:ascii="Calibri" w:eastAsia="Times New Roman" w:hAnsi="Calibri" w:cs="Times New Roman"/>
                <w:b/>
                <w:bCs/>
                <w:color w:val="FFFFFF"/>
                <w:sz w:val="20"/>
                <w:szCs w:val="22"/>
                <w:lang w:eastAsia="en-GB"/>
              </w:rPr>
              <w:t>Sum of Total Days</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AIREDALE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26</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18</w:t>
            </w:r>
          </w:p>
        </w:tc>
        <w:tc>
          <w:tcPr>
            <w:tcW w:w="550" w:type="pct"/>
            <w:vAlign w:val="bottom"/>
          </w:tcPr>
          <w:p w:rsidR="005E4042" w:rsidRPr="005E4042" w:rsidRDefault="005E4042" w:rsidP="005E4042">
            <w:pPr>
              <w:autoSpaceDE/>
              <w:autoSpaceDN/>
              <w:adjustRightInd/>
              <w:spacing w:after="0"/>
              <w:jc w:val="right"/>
              <w:rPr>
                <w:rFonts w:ascii="Calibri" w:eastAsia="Times New Roman" w:hAnsi="Calibri" w:cs="Times New Roman"/>
                <w:sz w:val="20"/>
                <w:szCs w:val="22"/>
                <w:lang w:eastAsia="en-GB"/>
              </w:rPr>
            </w:pPr>
            <w:r w:rsidRPr="005E4042">
              <w:rPr>
                <w:rFonts w:ascii="Calibri" w:hAnsi="Calibri"/>
                <w:sz w:val="20"/>
                <w:szCs w:val="22"/>
              </w:rPr>
              <w:t>0.9%</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45</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BLACKPOOL TEACHING HOSPITALS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202</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225</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11.6%</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135</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562</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EAST LANCASHIRE HOSPITALS NHS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376</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220</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11.4%</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114</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710</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GUY'S AND ST THOMAS'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0.0%</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LANCASHIRE CARE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76</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120</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6.2%</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120</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316</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LANCASHIRE TEACHING HOSPITALS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1044</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1151</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59.5%</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6</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2201</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LIVERPOOL HEART AND CHEST HOSPITAL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5</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0.0%</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5</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MERSEY CARE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60</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3.1%</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60</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PENNINE ACUTE HOSPITALS NHS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16</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0.8%</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16</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SALFORD ROYAL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30</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0.0%</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30</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SOUTHPORT AND ORMSKIRK HOSPITAL NHS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83</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0.1%</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84</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THE WALTON CENTRE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2</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0.0%</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2</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UNIVERSITY HOSPITALS OF MORECAMBE BAY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327</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104</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5.4%</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19</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450</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WARRINGTON AND HALTON HOSPITALS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11</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0.0%</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11</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WORCESTERSHIRE ACUTE HOSPITALS NHS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24</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0.0%</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24</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WRIGHTINGTON, WIGAN AND LEIGH NHS FOUNDATION TRUST</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10</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21</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1.1%</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0</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sz w:val="20"/>
                <w:szCs w:val="22"/>
                <w:lang w:eastAsia="en-GB"/>
              </w:rPr>
            </w:pPr>
            <w:r w:rsidRPr="00544984">
              <w:rPr>
                <w:rFonts w:ascii="Calibri" w:eastAsia="Times New Roman" w:hAnsi="Calibri" w:cs="Times New Roman"/>
                <w:sz w:val="20"/>
                <w:szCs w:val="22"/>
                <w:lang w:eastAsia="en-GB"/>
              </w:rPr>
              <w:t>31</w:t>
            </w:r>
          </w:p>
        </w:tc>
      </w:tr>
      <w:tr w:rsidR="005E4042" w:rsidRPr="005E4042" w:rsidTr="00FA0AC2">
        <w:trPr>
          <w:trHeight w:val="437"/>
        </w:trPr>
        <w:tc>
          <w:tcPr>
            <w:tcW w:w="1974" w:type="pct"/>
            <w:shd w:val="clear" w:color="auto" w:fill="auto"/>
            <w:noWrap/>
            <w:vAlign w:val="bottom"/>
            <w:hideMark/>
          </w:tcPr>
          <w:p w:rsidR="005E4042" w:rsidRPr="00544984" w:rsidRDefault="005E4042" w:rsidP="005E4042">
            <w:pPr>
              <w:autoSpaceDE/>
              <w:autoSpaceDN/>
              <w:adjustRightInd/>
              <w:spacing w:after="0"/>
              <w:jc w:val="left"/>
              <w:rPr>
                <w:rFonts w:ascii="Calibri" w:eastAsia="Times New Roman" w:hAnsi="Calibri" w:cs="Times New Roman"/>
                <w:b/>
                <w:bCs/>
                <w:sz w:val="20"/>
                <w:szCs w:val="22"/>
                <w:lang w:eastAsia="en-GB"/>
              </w:rPr>
            </w:pPr>
            <w:bookmarkStart w:id="11" w:name="_GoBack" w:colFirst="1" w:colLast="5"/>
            <w:r w:rsidRPr="00544984">
              <w:rPr>
                <w:rFonts w:ascii="Calibri" w:eastAsia="Times New Roman" w:hAnsi="Calibri" w:cs="Times New Roman"/>
                <w:b/>
                <w:bCs/>
                <w:sz w:val="20"/>
                <w:szCs w:val="22"/>
                <w:lang w:eastAsia="en-GB"/>
              </w:rPr>
              <w:t>Grand Total</w:t>
            </w:r>
          </w:p>
        </w:tc>
        <w:tc>
          <w:tcPr>
            <w:tcW w:w="574"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b/>
                <w:bCs/>
                <w:sz w:val="20"/>
                <w:szCs w:val="22"/>
                <w:lang w:eastAsia="en-GB"/>
              </w:rPr>
            </w:pPr>
            <w:r w:rsidRPr="00544984">
              <w:rPr>
                <w:rFonts w:ascii="Calibri" w:eastAsia="Times New Roman" w:hAnsi="Calibri" w:cs="Times New Roman"/>
                <w:b/>
                <w:bCs/>
                <w:sz w:val="20"/>
                <w:szCs w:val="22"/>
                <w:lang w:eastAsia="en-GB"/>
              </w:rPr>
              <w:t>2216</w:t>
            </w:r>
          </w:p>
        </w:tc>
        <w:tc>
          <w:tcPr>
            <w:tcW w:w="67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b/>
                <w:bCs/>
                <w:sz w:val="20"/>
                <w:szCs w:val="22"/>
                <w:lang w:eastAsia="en-GB"/>
              </w:rPr>
            </w:pPr>
            <w:r w:rsidRPr="00544984">
              <w:rPr>
                <w:rFonts w:ascii="Calibri" w:eastAsia="Times New Roman" w:hAnsi="Calibri" w:cs="Times New Roman"/>
                <w:b/>
                <w:bCs/>
                <w:sz w:val="20"/>
                <w:szCs w:val="22"/>
                <w:lang w:eastAsia="en-GB"/>
              </w:rPr>
              <w:t>1936</w:t>
            </w:r>
          </w:p>
        </w:tc>
        <w:tc>
          <w:tcPr>
            <w:tcW w:w="550" w:type="pct"/>
            <w:vAlign w:val="bottom"/>
          </w:tcPr>
          <w:p w:rsidR="005E4042" w:rsidRPr="005E4042" w:rsidRDefault="005E4042" w:rsidP="005E4042">
            <w:pPr>
              <w:spacing w:after="0"/>
              <w:jc w:val="right"/>
              <w:rPr>
                <w:rFonts w:ascii="Calibri" w:hAnsi="Calibri"/>
                <w:sz w:val="20"/>
                <w:szCs w:val="22"/>
              </w:rPr>
            </w:pPr>
            <w:r w:rsidRPr="005E4042">
              <w:rPr>
                <w:rFonts w:ascii="Calibri" w:hAnsi="Calibri"/>
                <w:sz w:val="20"/>
                <w:szCs w:val="22"/>
              </w:rPr>
              <w:t>100.0%</w:t>
            </w:r>
          </w:p>
        </w:tc>
        <w:tc>
          <w:tcPr>
            <w:tcW w:w="632"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b/>
                <w:bCs/>
                <w:sz w:val="20"/>
                <w:szCs w:val="22"/>
                <w:lang w:eastAsia="en-GB"/>
              </w:rPr>
            </w:pPr>
            <w:r w:rsidRPr="00544984">
              <w:rPr>
                <w:rFonts w:ascii="Calibri" w:eastAsia="Times New Roman" w:hAnsi="Calibri" w:cs="Times New Roman"/>
                <w:b/>
                <w:bCs/>
                <w:sz w:val="20"/>
                <w:szCs w:val="22"/>
                <w:lang w:eastAsia="en-GB"/>
              </w:rPr>
              <w:t>395</w:t>
            </w:r>
          </w:p>
        </w:tc>
        <w:tc>
          <w:tcPr>
            <w:tcW w:w="595" w:type="pct"/>
            <w:shd w:val="clear" w:color="auto" w:fill="auto"/>
            <w:noWrap/>
            <w:vAlign w:val="bottom"/>
            <w:hideMark/>
          </w:tcPr>
          <w:p w:rsidR="005E4042" w:rsidRPr="00544984" w:rsidRDefault="005E4042" w:rsidP="005E4042">
            <w:pPr>
              <w:autoSpaceDE/>
              <w:autoSpaceDN/>
              <w:adjustRightInd/>
              <w:spacing w:after="0"/>
              <w:jc w:val="right"/>
              <w:rPr>
                <w:rFonts w:ascii="Calibri" w:eastAsia="Times New Roman" w:hAnsi="Calibri" w:cs="Times New Roman"/>
                <w:b/>
                <w:bCs/>
                <w:sz w:val="20"/>
                <w:szCs w:val="22"/>
                <w:lang w:eastAsia="en-GB"/>
              </w:rPr>
            </w:pPr>
            <w:r w:rsidRPr="00544984">
              <w:rPr>
                <w:rFonts w:ascii="Calibri" w:eastAsia="Times New Roman" w:hAnsi="Calibri" w:cs="Times New Roman"/>
                <w:b/>
                <w:bCs/>
                <w:sz w:val="20"/>
                <w:szCs w:val="22"/>
                <w:lang w:eastAsia="en-GB"/>
              </w:rPr>
              <w:t>4547</w:t>
            </w:r>
          </w:p>
        </w:tc>
      </w:tr>
      <w:bookmarkEnd w:id="11"/>
    </w:tbl>
    <w:p w:rsidR="00544984" w:rsidRPr="005E4042" w:rsidRDefault="00544984" w:rsidP="00D20769">
      <w:pPr>
        <w:spacing w:after="0" w:line="259" w:lineRule="auto"/>
        <w:rPr>
          <w:rFonts w:cs="Arial"/>
        </w:rPr>
      </w:pPr>
    </w:p>
    <w:p w:rsidR="00544984" w:rsidRDefault="00FA0AC2" w:rsidP="00D20769">
      <w:pPr>
        <w:spacing w:after="0" w:line="259" w:lineRule="auto"/>
        <w:rPr>
          <w:rFonts w:cs="Arial"/>
        </w:rPr>
      </w:pPr>
      <w:r w:rsidRPr="005E4042">
        <w:rPr>
          <w:noProof/>
          <w:lang w:eastAsia="en-GB"/>
        </w:rPr>
        <w:drawing>
          <wp:inline distT="0" distB="0" distL="0" distR="0" wp14:anchorId="0AAD4EA9" wp14:editId="35AF6543">
            <wp:extent cx="5727700" cy="4019550"/>
            <wp:effectExtent l="0" t="0" r="63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A0AC2" w:rsidRPr="005E4042" w:rsidRDefault="00FA0AC2" w:rsidP="00D20769">
      <w:pPr>
        <w:spacing w:after="0" w:line="259" w:lineRule="auto"/>
        <w:rPr>
          <w:rFonts w:cs="Arial"/>
        </w:rPr>
      </w:pPr>
    </w:p>
    <w:p w:rsidR="00D20769" w:rsidRPr="00FA0AC2" w:rsidRDefault="00D20769" w:rsidP="0069758B">
      <w:pPr>
        <w:pStyle w:val="Heading2"/>
      </w:pPr>
      <w:bookmarkStart w:id="12" w:name="_Toc503454139"/>
      <w:r w:rsidRPr="00FA0AC2">
        <w:t>Provider Detail – All Residents</w:t>
      </w:r>
      <w:bookmarkEnd w:id="12"/>
    </w:p>
    <w:p w:rsidR="00D20769" w:rsidRPr="00FA0AC2" w:rsidRDefault="00D20769" w:rsidP="00D20769">
      <w:pPr>
        <w:spacing w:after="0" w:line="259" w:lineRule="auto"/>
        <w:rPr>
          <w:rFonts w:cs="Arial"/>
        </w:rPr>
      </w:pPr>
    </w:p>
    <w:p w:rsidR="00D20769" w:rsidRPr="00FA0AC2" w:rsidRDefault="00D20769" w:rsidP="00D20769">
      <w:pPr>
        <w:spacing w:line="259" w:lineRule="auto"/>
        <w:rPr>
          <w:rFonts w:cs="Arial"/>
        </w:rPr>
      </w:pPr>
      <w:r w:rsidRPr="00FA0AC2">
        <w:rPr>
          <w:rFonts w:cs="Arial"/>
        </w:rPr>
        <w:t xml:space="preserve">Local authority analysis of the social care delayed days in </w:t>
      </w:r>
      <w:r w:rsidR="0037559D" w:rsidRPr="00FA0AC2">
        <w:rPr>
          <w:rFonts w:cs="Arial"/>
        </w:rPr>
        <w:t>Nov</w:t>
      </w:r>
      <w:r w:rsidRPr="00FA0AC2">
        <w:rPr>
          <w:rFonts w:cs="Arial"/>
        </w:rPr>
        <w:t xml:space="preserve">-17 for the six main Lancashire providers illustrates the numbers and proportions incurred by Lancashire residents and </w:t>
      </w:r>
      <w:r w:rsidR="0037559D" w:rsidRPr="00FA0AC2">
        <w:rPr>
          <w:rFonts w:cs="Arial"/>
        </w:rPr>
        <w:t xml:space="preserve">also </w:t>
      </w:r>
      <w:r w:rsidRPr="00FA0AC2">
        <w:rPr>
          <w:rFonts w:cs="Arial"/>
        </w:rPr>
        <w:t>by those from other local authorities.</w:t>
      </w:r>
    </w:p>
    <w:p w:rsidR="00FB15C4" w:rsidRPr="00FA0AC2" w:rsidRDefault="00FB15C4" w:rsidP="00D20769">
      <w:pPr>
        <w:spacing w:line="259" w:lineRule="auto"/>
        <w:rPr>
          <w:rFonts w:cs="Arial"/>
        </w:rPr>
      </w:pPr>
      <w:r w:rsidRPr="00FA0AC2">
        <w:rPr>
          <w:noProof/>
          <w:lang w:eastAsia="en-GB"/>
        </w:rPr>
        <w:drawing>
          <wp:inline distT="0" distB="0" distL="0" distR="0" wp14:anchorId="4D3AE077" wp14:editId="2A625624">
            <wp:extent cx="5727700" cy="3325091"/>
            <wp:effectExtent l="0" t="0" r="6350" b="889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20769" w:rsidRPr="00FA0AC2" w:rsidRDefault="00D20769" w:rsidP="00D20769">
      <w:pPr>
        <w:spacing w:before="120" w:line="259" w:lineRule="auto"/>
        <w:rPr>
          <w:rFonts w:cs="Arial"/>
        </w:rPr>
      </w:pPr>
      <w:r w:rsidRPr="00FA0AC2">
        <w:rPr>
          <w:rFonts w:cs="Arial"/>
        </w:rPr>
        <w:t xml:space="preserve">Local authority analysis of the total delayed days in </w:t>
      </w:r>
      <w:r w:rsidR="0037559D" w:rsidRPr="00FA0AC2">
        <w:rPr>
          <w:rFonts w:cs="Arial"/>
        </w:rPr>
        <w:t>Nov-</w:t>
      </w:r>
      <w:r w:rsidRPr="00FA0AC2">
        <w:rPr>
          <w:rFonts w:cs="Arial"/>
        </w:rPr>
        <w:t xml:space="preserve">17 for the six main Lancashire providers illustrates the numbers and proportions incurred by Lancashire residents and </w:t>
      </w:r>
      <w:r w:rsidR="0037559D" w:rsidRPr="00FA0AC2">
        <w:rPr>
          <w:rFonts w:cs="Arial"/>
        </w:rPr>
        <w:t xml:space="preserve">also </w:t>
      </w:r>
      <w:r w:rsidRPr="00FA0AC2">
        <w:rPr>
          <w:rFonts w:cs="Arial"/>
        </w:rPr>
        <w:t>by those from other local authorities.</w:t>
      </w:r>
    </w:p>
    <w:p w:rsidR="00FB15C4" w:rsidRPr="00FA0AC2" w:rsidRDefault="00FB15C4" w:rsidP="00D20769">
      <w:pPr>
        <w:spacing w:before="120" w:line="259" w:lineRule="auto"/>
        <w:rPr>
          <w:rFonts w:cs="Arial"/>
        </w:rPr>
      </w:pPr>
      <w:r w:rsidRPr="00FA0AC2">
        <w:rPr>
          <w:noProof/>
          <w:lang w:eastAsia="en-GB"/>
        </w:rPr>
        <w:drawing>
          <wp:inline distT="0" distB="0" distL="0" distR="0" wp14:anchorId="1D6975A2" wp14:editId="71D29746">
            <wp:extent cx="5727700" cy="3324860"/>
            <wp:effectExtent l="0" t="0" r="6350" b="889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20769" w:rsidRPr="00FA0AC2" w:rsidRDefault="00D20769" w:rsidP="00D20769">
      <w:pPr>
        <w:spacing w:after="0" w:line="259" w:lineRule="auto"/>
        <w:rPr>
          <w:rFonts w:cs="Arial"/>
        </w:rPr>
      </w:pPr>
    </w:p>
    <w:p w:rsidR="009D07F9" w:rsidRDefault="009D07F9" w:rsidP="00D20769">
      <w:pPr>
        <w:spacing w:after="0" w:line="259" w:lineRule="auto"/>
        <w:rPr>
          <w:rFonts w:cs="Arial"/>
        </w:rPr>
      </w:pPr>
    </w:p>
    <w:p w:rsidR="009D07F9" w:rsidRDefault="009D07F9" w:rsidP="00D20769">
      <w:pPr>
        <w:spacing w:after="0" w:line="259" w:lineRule="auto"/>
        <w:rPr>
          <w:rFonts w:cs="Arial"/>
        </w:rPr>
      </w:pPr>
    </w:p>
    <w:p w:rsidR="00C33145" w:rsidRDefault="00D20769" w:rsidP="00D20769">
      <w:pPr>
        <w:spacing w:after="0" w:line="259" w:lineRule="auto"/>
        <w:rPr>
          <w:rFonts w:cs="Arial"/>
        </w:rPr>
      </w:pPr>
      <w:r w:rsidRPr="00FA0AC2">
        <w:rPr>
          <w:rFonts w:cs="Arial"/>
        </w:rPr>
        <w:t xml:space="preserve">The table below showing </w:t>
      </w:r>
      <w:r w:rsidR="00C426FA" w:rsidRPr="00FA0AC2">
        <w:rPr>
          <w:rFonts w:cs="Arial"/>
        </w:rPr>
        <w:t>Nov</w:t>
      </w:r>
      <w:r w:rsidRPr="00FA0AC2">
        <w:rPr>
          <w:rFonts w:cs="Arial"/>
        </w:rPr>
        <w:t xml:space="preserve">-17 delayed day numbers for the six main Lancashire providers also includes a local authority percentage breakdown for social care and total days for each provider. </w:t>
      </w:r>
    </w:p>
    <w:p w:rsidR="00C33145" w:rsidRDefault="00C33145" w:rsidP="00D20769">
      <w:pPr>
        <w:spacing w:after="0" w:line="259" w:lineRule="auto"/>
        <w:rPr>
          <w:rFonts w:cs="Arial"/>
        </w:rPr>
      </w:pPr>
    </w:p>
    <w:p w:rsidR="00C33145" w:rsidRDefault="00C33145" w:rsidP="00D20769">
      <w:pPr>
        <w:spacing w:after="0" w:line="259" w:lineRule="auto"/>
        <w:rPr>
          <w:rFonts w:cs="Arial"/>
        </w:rPr>
      </w:pPr>
      <w:r>
        <w:rPr>
          <w:rFonts w:cs="Arial"/>
        </w:rPr>
        <w:t xml:space="preserve">Within </w:t>
      </w:r>
      <w:r w:rsidRPr="00FA0AC2">
        <w:rPr>
          <w:rFonts w:cs="Arial"/>
        </w:rPr>
        <w:t>Blackpool NHS Trust</w:t>
      </w:r>
      <w:r w:rsidR="00F47CEE">
        <w:rPr>
          <w:rFonts w:cs="Arial"/>
        </w:rPr>
        <w:t>,</w:t>
      </w:r>
      <w:r w:rsidRPr="00FA0AC2">
        <w:rPr>
          <w:rFonts w:cs="Arial"/>
        </w:rPr>
        <w:t xml:space="preserve"> </w:t>
      </w:r>
      <w:r w:rsidR="00D20769" w:rsidRPr="00FA0AC2">
        <w:rPr>
          <w:rFonts w:cs="Arial"/>
        </w:rPr>
        <w:t xml:space="preserve">Lancashire residents incurred </w:t>
      </w:r>
      <w:r w:rsidR="00C426FA" w:rsidRPr="00FA0AC2">
        <w:rPr>
          <w:rFonts w:cs="Arial"/>
        </w:rPr>
        <w:t>51.1</w:t>
      </w:r>
      <w:r w:rsidR="00D20769" w:rsidRPr="00FA0AC2">
        <w:rPr>
          <w:rFonts w:cs="Arial"/>
        </w:rPr>
        <w:t xml:space="preserve">% of the social care days and </w:t>
      </w:r>
      <w:r w:rsidR="00C426FA" w:rsidRPr="00FA0AC2">
        <w:rPr>
          <w:rFonts w:cs="Arial"/>
        </w:rPr>
        <w:t>57.3</w:t>
      </w:r>
      <w:r w:rsidR="00D20769" w:rsidRPr="00FA0AC2">
        <w:rPr>
          <w:rFonts w:cs="Arial"/>
        </w:rPr>
        <w:t xml:space="preserve">% of the total days. </w:t>
      </w:r>
    </w:p>
    <w:p w:rsidR="00C33145" w:rsidRDefault="00C33145" w:rsidP="00D20769">
      <w:pPr>
        <w:spacing w:after="0" w:line="259" w:lineRule="auto"/>
        <w:rPr>
          <w:rFonts w:cs="Arial"/>
        </w:rPr>
      </w:pPr>
    </w:p>
    <w:p w:rsidR="00C33145" w:rsidRDefault="00C33145" w:rsidP="00C33145">
      <w:pPr>
        <w:spacing w:after="0" w:line="259" w:lineRule="auto"/>
        <w:rPr>
          <w:rFonts w:cs="Arial"/>
        </w:rPr>
      </w:pPr>
      <w:r>
        <w:rPr>
          <w:rFonts w:cs="Arial"/>
        </w:rPr>
        <w:t>Within East Lancashire</w:t>
      </w:r>
      <w:r w:rsidRPr="00FA0AC2">
        <w:rPr>
          <w:rFonts w:cs="Arial"/>
        </w:rPr>
        <w:t xml:space="preserve"> NHS Trust</w:t>
      </w:r>
      <w:r w:rsidR="00F47CEE">
        <w:rPr>
          <w:rFonts w:cs="Arial"/>
        </w:rPr>
        <w:t>,</w:t>
      </w:r>
      <w:r w:rsidRPr="00FA0AC2">
        <w:rPr>
          <w:rFonts w:cs="Arial"/>
        </w:rPr>
        <w:t xml:space="preserve"> Lancashire residents incurred </w:t>
      </w:r>
      <w:r>
        <w:rPr>
          <w:rFonts w:cs="Arial"/>
        </w:rPr>
        <w:t>65.3</w:t>
      </w:r>
      <w:r w:rsidRPr="00FA0AC2">
        <w:rPr>
          <w:rFonts w:cs="Arial"/>
        </w:rPr>
        <w:t xml:space="preserve">% of the social care days and </w:t>
      </w:r>
      <w:r>
        <w:rPr>
          <w:rFonts w:cs="Arial"/>
        </w:rPr>
        <w:t>69.3</w:t>
      </w:r>
      <w:r w:rsidRPr="00FA0AC2">
        <w:rPr>
          <w:rFonts w:cs="Arial"/>
        </w:rPr>
        <w:t xml:space="preserve">% of the total days. </w:t>
      </w:r>
    </w:p>
    <w:p w:rsidR="009D07F9" w:rsidRDefault="009D07F9" w:rsidP="00C33145">
      <w:pPr>
        <w:spacing w:after="0" w:line="259" w:lineRule="auto"/>
        <w:rPr>
          <w:rFonts w:cs="Arial"/>
        </w:rPr>
      </w:pPr>
    </w:p>
    <w:p w:rsidR="009D07F9" w:rsidRDefault="009D07F9" w:rsidP="009D07F9">
      <w:pPr>
        <w:spacing w:after="0" w:line="259" w:lineRule="auto"/>
        <w:rPr>
          <w:rFonts w:cs="Arial"/>
        </w:rPr>
      </w:pPr>
      <w:r>
        <w:rPr>
          <w:rFonts w:cs="Arial"/>
        </w:rPr>
        <w:t>Within Lancashire Care NHS Foundation Trust</w:t>
      </w:r>
      <w:r w:rsidR="00F47CEE">
        <w:rPr>
          <w:rFonts w:cs="Arial"/>
        </w:rPr>
        <w:t>,</w:t>
      </w:r>
      <w:r w:rsidRPr="00FA0AC2">
        <w:rPr>
          <w:rFonts w:cs="Arial"/>
        </w:rPr>
        <w:t xml:space="preserve"> Lancashire residents incurred </w:t>
      </w:r>
      <w:r>
        <w:rPr>
          <w:rFonts w:cs="Arial"/>
        </w:rPr>
        <w:t>100</w:t>
      </w:r>
      <w:r w:rsidRPr="00FA0AC2">
        <w:rPr>
          <w:rFonts w:cs="Arial"/>
        </w:rPr>
        <w:t xml:space="preserve">% of the social care days and </w:t>
      </w:r>
      <w:r>
        <w:rPr>
          <w:rFonts w:cs="Arial"/>
        </w:rPr>
        <w:t>92.4</w:t>
      </w:r>
      <w:r w:rsidRPr="00FA0AC2">
        <w:rPr>
          <w:rFonts w:cs="Arial"/>
        </w:rPr>
        <w:t xml:space="preserve">% of the total days. </w:t>
      </w:r>
    </w:p>
    <w:p w:rsidR="00C33145" w:rsidRDefault="00C33145" w:rsidP="00C33145">
      <w:pPr>
        <w:spacing w:after="0" w:line="259" w:lineRule="auto"/>
        <w:rPr>
          <w:rFonts w:cs="Arial"/>
        </w:rPr>
      </w:pPr>
    </w:p>
    <w:p w:rsidR="00C33145" w:rsidRDefault="00C33145" w:rsidP="00C33145">
      <w:pPr>
        <w:spacing w:after="0" w:line="259" w:lineRule="auto"/>
        <w:rPr>
          <w:rFonts w:cs="Arial"/>
        </w:rPr>
      </w:pPr>
      <w:r>
        <w:rPr>
          <w:rFonts w:cs="Arial"/>
        </w:rPr>
        <w:t>Within Lancashire Teaching Hospitals</w:t>
      </w:r>
      <w:r w:rsidRPr="00FA0AC2">
        <w:rPr>
          <w:rFonts w:cs="Arial"/>
        </w:rPr>
        <w:t xml:space="preserve"> NHS Trust</w:t>
      </w:r>
      <w:r w:rsidR="00F47CEE">
        <w:rPr>
          <w:rFonts w:cs="Arial"/>
        </w:rPr>
        <w:t>,</w:t>
      </w:r>
      <w:r w:rsidRPr="00FA0AC2">
        <w:rPr>
          <w:rFonts w:cs="Arial"/>
        </w:rPr>
        <w:t xml:space="preserve"> Lancashire residents incurred </w:t>
      </w:r>
      <w:r w:rsidR="009D07F9">
        <w:rPr>
          <w:rFonts w:cs="Arial"/>
        </w:rPr>
        <w:t>92.4</w:t>
      </w:r>
      <w:r w:rsidRPr="00FA0AC2">
        <w:rPr>
          <w:rFonts w:cs="Arial"/>
        </w:rPr>
        <w:t xml:space="preserve">% of the social care days and </w:t>
      </w:r>
      <w:r w:rsidR="009D07F9">
        <w:rPr>
          <w:rFonts w:cs="Arial"/>
        </w:rPr>
        <w:t>92.9</w:t>
      </w:r>
      <w:r w:rsidRPr="00FA0AC2">
        <w:rPr>
          <w:rFonts w:cs="Arial"/>
        </w:rPr>
        <w:t xml:space="preserve">% of the total days. </w:t>
      </w:r>
    </w:p>
    <w:p w:rsidR="009D07F9" w:rsidRDefault="009D07F9" w:rsidP="00C33145">
      <w:pPr>
        <w:spacing w:after="0" w:line="259" w:lineRule="auto"/>
        <w:rPr>
          <w:rFonts w:cs="Arial"/>
        </w:rPr>
      </w:pPr>
    </w:p>
    <w:p w:rsidR="009D07F9" w:rsidRDefault="009D07F9" w:rsidP="009D07F9">
      <w:pPr>
        <w:spacing w:after="0" w:line="259" w:lineRule="auto"/>
        <w:rPr>
          <w:rFonts w:cs="Arial"/>
        </w:rPr>
      </w:pPr>
      <w:r>
        <w:rPr>
          <w:rFonts w:cs="Arial"/>
        </w:rPr>
        <w:t xml:space="preserve">Within </w:t>
      </w:r>
      <w:r w:rsidR="00F47CEE">
        <w:rPr>
          <w:rFonts w:cs="Arial"/>
        </w:rPr>
        <w:t xml:space="preserve">Southport and Ormskirk </w:t>
      </w:r>
      <w:r w:rsidRPr="00FA0AC2">
        <w:rPr>
          <w:rFonts w:cs="Arial"/>
        </w:rPr>
        <w:t>NHS Trust</w:t>
      </w:r>
      <w:r w:rsidR="00F47CEE">
        <w:rPr>
          <w:rFonts w:cs="Arial"/>
        </w:rPr>
        <w:t>,</w:t>
      </w:r>
      <w:r w:rsidRPr="00FA0AC2">
        <w:rPr>
          <w:rFonts w:cs="Arial"/>
        </w:rPr>
        <w:t xml:space="preserve"> Lancashire residents incurred </w:t>
      </w:r>
      <w:r w:rsidR="00F47CEE">
        <w:rPr>
          <w:rFonts w:cs="Arial"/>
        </w:rPr>
        <w:t>100</w:t>
      </w:r>
      <w:r w:rsidRPr="00FA0AC2">
        <w:rPr>
          <w:rFonts w:cs="Arial"/>
        </w:rPr>
        <w:t xml:space="preserve">% of the social care days </w:t>
      </w:r>
      <w:r w:rsidR="00F47CEE">
        <w:rPr>
          <w:rFonts w:cs="Arial"/>
        </w:rPr>
        <w:t xml:space="preserve">(only 1 day) </w:t>
      </w:r>
      <w:r w:rsidRPr="00FA0AC2">
        <w:rPr>
          <w:rFonts w:cs="Arial"/>
        </w:rPr>
        <w:t xml:space="preserve">and </w:t>
      </w:r>
      <w:r w:rsidR="00F47CEE">
        <w:rPr>
          <w:rFonts w:cs="Arial"/>
        </w:rPr>
        <w:t>30.9</w:t>
      </w:r>
      <w:r w:rsidRPr="00FA0AC2">
        <w:rPr>
          <w:rFonts w:cs="Arial"/>
        </w:rPr>
        <w:t xml:space="preserve">% of the total days. </w:t>
      </w:r>
    </w:p>
    <w:p w:rsidR="00C33145" w:rsidRDefault="00C33145" w:rsidP="00C33145">
      <w:pPr>
        <w:spacing w:after="0" w:line="259" w:lineRule="auto"/>
        <w:rPr>
          <w:rFonts w:cs="Arial"/>
        </w:rPr>
      </w:pPr>
    </w:p>
    <w:p w:rsidR="00D20769" w:rsidRDefault="009D07F9" w:rsidP="00D20769">
      <w:pPr>
        <w:spacing w:after="0" w:line="259" w:lineRule="auto"/>
        <w:rPr>
          <w:rFonts w:cs="Arial"/>
        </w:rPr>
      </w:pPr>
      <w:r>
        <w:rPr>
          <w:rFonts w:cs="Arial"/>
        </w:rPr>
        <w:t xml:space="preserve">Within </w:t>
      </w:r>
      <w:r w:rsidRPr="00FA0AC2">
        <w:rPr>
          <w:rFonts w:cs="Arial"/>
        </w:rPr>
        <w:t>University Hospitals of Morecambe Bay NHS Trust</w:t>
      </w:r>
      <w:r w:rsidR="00F47CEE">
        <w:rPr>
          <w:rFonts w:cs="Arial"/>
        </w:rPr>
        <w:t>,</w:t>
      </w:r>
      <w:r w:rsidRPr="00FA0AC2">
        <w:rPr>
          <w:rFonts w:cs="Arial"/>
        </w:rPr>
        <w:t xml:space="preserve"> </w:t>
      </w:r>
      <w:r w:rsidR="00D20769" w:rsidRPr="00FA0AC2">
        <w:rPr>
          <w:rFonts w:cs="Arial"/>
        </w:rPr>
        <w:t xml:space="preserve">Lancashire residents incurred </w:t>
      </w:r>
      <w:r w:rsidR="00C426FA" w:rsidRPr="00FA0AC2">
        <w:rPr>
          <w:rFonts w:cs="Arial"/>
        </w:rPr>
        <w:t>22.4</w:t>
      </w:r>
      <w:r w:rsidR="00D20769" w:rsidRPr="00FA0AC2">
        <w:rPr>
          <w:rFonts w:cs="Arial"/>
        </w:rPr>
        <w:t xml:space="preserve">% of the social care days and </w:t>
      </w:r>
      <w:r w:rsidR="00C426FA" w:rsidRPr="00FA0AC2">
        <w:rPr>
          <w:rFonts w:cs="Arial"/>
        </w:rPr>
        <w:t>46.8</w:t>
      </w:r>
      <w:r>
        <w:rPr>
          <w:rFonts w:cs="Arial"/>
        </w:rPr>
        <w:t>% of the total days.</w:t>
      </w:r>
    </w:p>
    <w:p w:rsidR="009D07F9" w:rsidRDefault="009D07F9">
      <w:pPr>
        <w:autoSpaceDE/>
        <w:autoSpaceDN/>
        <w:adjustRightInd/>
        <w:spacing w:after="0"/>
        <w:jc w:val="left"/>
        <w:rPr>
          <w:rFonts w:cs="Arial"/>
        </w:rPr>
      </w:pPr>
      <w:r>
        <w:rPr>
          <w:rFonts w:cs="Arial"/>
        </w:rPr>
        <w:br w:type="page"/>
      </w:r>
    </w:p>
    <w:p w:rsidR="009D07F9" w:rsidRPr="009D07F9" w:rsidRDefault="009D07F9" w:rsidP="00D20769">
      <w:pPr>
        <w:spacing w:after="0" w:line="259" w:lineRule="auto"/>
        <w:rPr>
          <w:rFonts w:cs="Arial"/>
          <w:b/>
        </w:rPr>
      </w:pPr>
      <w:r w:rsidRPr="009D07F9">
        <w:rPr>
          <w:rFonts w:cs="Arial"/>
          <w:b/>
        </w:rPr>
        <w:t>Nov-17 delayed day numbers for the six main Lancashire providers</w:t>
      </w:r>
    </w:p>
    <w:p w:rsidR="009D07F9" w:rsidRPr="00FA0AC2" w:rsidRDefault="009D07F9" w:rsidP="00D20769">
      <w:pPr>
        <w:spacing w:after="0" w:line="259" w:lineRule="auto"/>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9"/>
        <w:gridCol w:w="952"/>
        <w:gridCol w:w="843"/>
        <w:gridCol w:w="993"/>
        <w:gridCol w:w="989"/>
        <w:gridCol w:w="991"/>
        <w:gridCol w:w="933"/>
      </w:tblGrid>
      <w:tr w:rsidR="00B81FF3" w:rsidRPr="00FA0AC2" w:rsidTr="00C426FA">
        <w:trPr>
          <w:trHeight w:val="300"/>
        </w:trPr>
        <w:tc>
          <w:tcPr>
            <w:tcW w:w="1836" w:type="pct"/>
            <w:shd w:val="clear" w:color="4F81BD" w:fill="4F81BD"/>
            <w:noWrap/>
            <w:vAlign w:val="bottom"/>
            <w:hideMark/>
          </w:tcPr>
          <w:p w:rsidR="00B81FF3" w:rsidRPr="00FA0AC2" w:rsidRDefault="00FB15C4" w:rsidP="00FB15C4">
            <w:pPr>
              <w:autoSpaceDE/>
              <w:autoSpaceDN/>
              <w:adjustRightInd/>
              <w:spacing w:after="0"/>
              <w:jc w:val="left"/>
              <w:rPr>
                <w:rFonts w:ascii="Calibri" w:eastAsia="Times New Roman" w:hAnsi="Calibri" w:cs="Times New Roman"/>
                <w:b/>
                <w:bCs/>
                <w:color w:val="FFFFFF"/>
                <w:sz w:val="20"/>
                <w:szCs w:val="22"/>
                <w:lang w:eastAsia="en-GB"/>
              </w:rPr>
            </w:pPr>
            <w:r w:rsidRPr="00FA0AC2">
              <w:rPr>
                <w:rFonts w:ascii="Calibri" w:eastAsia="Times New Roman" w:hAnsi="Calibri" w:cs="Times New Roman"/>
                <w:b/>
                <w:bCs/>
                <w:color w:val="FFFFFF"/>
                <w:sz w:val="22"/>
                <w:lang w:eastAsia="en-GB"/>
              </w:rPr>
              <w:t>Nov-17 delayed days by provider and local authority of resident</w:t>
            </w:r>
          </w:p>
        </w:tc>
        <w:tc>
          <w:tcPr>
            <w:tcW w:w="528" w:type="pct"/>
            <w:shd w:val="clear" w:color="4F81BD" w:fill="4F81BD"/>
            <w:noWrap/>
            <w:vAlign w:val="bottom"/>
            <w:hideMark/>
          </w:tcPr>
          <w:p w:rsidR="00B81FF3" w:rsidRPr="00FA0AC2" w:rsidRDefault="00B81FF3" w:rsidP="00C426FA">
            <w:pPr>
              <w:autoSpaceDE/>
              <w:autoSpaceDN/>
              <w:adjustRightInd/>
              <w:spacing w:after="0"/>
              <w:jc w:val="left"/>
              <w:rPr>
                <w:rFonts w:ascii="Calibri" w:eastAsia="Times New Roman" w:hAnsi="Calibri" w:cs="Times New Roman"/>
                <w:b/>
                <w:bCs/>
                <w:color w:val="FFFFFF"/>
                <w:sz w:val="20"/>
                <w:szCs w:val="22"/>
                <w:lang w:eastAsia="en-GB"/>
              </w:rPr>
            </w:pPr>
            <w:r w:rsidRPr="00FA0AC2">
              <w:rPr>
                <w:rFonts w:ascii="Calibri" w:eastAsia="Times New Roman" w:hAnsi="Calibri" w:cs="Times New Roman"/>
                <w:b/>
                <w:bCs/>
                <w:color w:val="FFFFFF"/>
                <w:sz w:val="20"/>
                <w:szCs w:val="22"/>
                <w:lang w:eastAsia="en-GB"/>
              </w:rPr>
              <w:t>Sum of NHS Days</w:t>
            </w:r>
          </w:p>
        </w:tc>
        <w:tc>
          <w:tcPr>
            <w:tcW w:w="468" w:type="pct"/>
            <w:shd w:val="clear" w:color="4F81BD" w:fill="4F81BD"/>
            <w:noWrap/>
            <w:vAlign w:val="bottom"/>
            <w:hideMark/>
          </w:tcPr>
          <w:p w:rsidR="00B81FF3" w:rsidRPr="00FA0AC2" w:rsidRDefault="00B81FF3" w:rsidP="00C426FA">
            <w:pPr>
              <w:autoSpaceDE/>
              <w:autoSpaceDN/>
              <w:adjustRightInd/>
              <w:spacing w:after="0"/>
              <w:jc w:val="left"/>
              <w:rPr>
                <w:rFonts w:ascii="Calibri" w:eastAsia="Times New Roman" w:hAnsi="Calibri" w:cs="Times New Roman"/>
                <w:b/>
                <w:bCs/>
                <w:color w:val="FFFFFF"/>
                <w:sz w:val="20"/>
                <w:szCs w:val="22"/>
                <w:lang w:eastAsia="en-GB"/>
              </w:rPr>
            </w:pPr>
            <w:r w:rsidRPr="00FA0AC2">
              <w:rPr>
                <w:rFonts w:ascii="Calibri" w:eastAsia="Times New Roman" w:hAnsi="Calibri" w:cs="Times New Roman"/>
                <w:b/>
                <w:bCs/>
                <w:color w:val="FFFFFF"/>
                <w:sz w:val="20"/>
                <w:szCs w:val="22"/>
                <w:lang w:eastAsia="en-GB"/>
              </w:rPr>
              <w:t>Sum of Social Care Days</w:t>
            </w:r>
          </w:p>
        </w:tc>
        <w:tc>
          <w:tcPr>
            <w:tcW w:w="551" w:type="pct"/>
            <w:shd w:val="clear" w:color="4F81BD" w:fill="4F81BD"/>
            <w:noWrap/>
            <w:vAlign w:val="bottom"/>
            <w:hideMark/>
          </w:tcPr>
          <w:p w:rsidR="00B81FF3" w:rsidRPr="00FA0AC2" w:rsidRDefault="00B81FF3" w:rsidP="00C426FA">
            <w:pPr>
              <w:autoSpaceDE/>
              <w:autoSpaceDN/>
              <w:adjustRightInd/>
              <w:spacing w:after="0"/>
              <w:jc w:val="left"/>
              <w:rPr>
                <w:rFonts w:ascii="Calibri" w:eastAsia="Times New Roman" w:hAnsi="Calibri" w:cs="Times New Roman"/>
                <w:b/>
                <w:bCs/>
                <w:color w:val="FFFFFF"/>
                <w:sz w:val="20"/>
                <w:szCs w:val="22"/>
                <w:lang w:eastAsia="en-GB"/>
              </w:rPr>
            </w:pPr>
            <w:r w:rsidRPr="00FA0AC2">
              <w:rPr>
                <w:rFonts w:ascii="Calibri" w:eastAsia="Times New Roman" w:hAnsi="Calibri" w:cs="Times New Roman"/>
                <w:b/>
                <w:bCs/>
                <w:color w:val="FFFFFF"/>
                <w:sz w:val="20"/>
                <w:szCs w:val="22"/>
                <w:lang w:eastAsia="en-GB"/>
              </w:rPr>
              <w:t>Sum of NHS and Social Care Days</w:t>
            </w:r>
          </w:p>
        </w:tc>
        <w:tc>
          <w:tcPr>
            <w:tcW w:w="549" w:type="pct"/>
            <w:shd w:val="clear" w:color="4F81BD" w:fill="4F81BD"/>
            <w:noWrap/>
            <w:vAlign w:val="bottom"/>
            <w:hideMark/>
          </w:tcPr>
          <w:p w:rsidR="00B81FF3" w:rsidRPr="00FA0AC2" w:rsidRDefault="00B81FF3" w:rsidP="00C426FA">
            <w:pPr>
              <w:autoSpaceDE/>
              <w:autoSpaceDN/>
              <w:adjustRightInd/>
              <w:spacing w:after="0"/>
              <w:jc w:val="left"/>
              <w:rPr>
                <w:rFonts w:ascii="Calibri" w:eastAsia="Times New Roman" w:hAnsi="Calibri" w:cs="Times New Roman"/>
                <w:b/>
                <w:bCs/>
                <w:color w:val="FFFFFF"/>
                <w:sz w:val="20"/>
                <w:szCs w:val="22"/>
                <w:lang w:eastAsia="en-GB"/>
              </w:rPr>
            </w:pPr>
            <w:r w:rsidRPr="00FA0AC2">
              <w:rPr>
                <w:rFonts w:ascii="Calibri" w:eastAsia="Times New Roman" w:hAnsi="Calibri" w:cs="Times New Roman"/>
                <w:b/>
                <w:bCs/>
                <w:color w:val="FFFFFF"/>
                <w:sz w:val="20"/>
                <w:szCs w:val="22"/>
                <w:lang w:eastAsia="en-GB"/>
              </w:rPr>
              <w:t>Sum of Total Days</w:t>
            </w:r>
          </w:p>
        </w:tc>
        <w:tc>
          <w:tcPr>
            <w:tcW w:w="550" w:type="pct"/>
            <w:shd w:val="clear" w:color="4F81BD" w:fill="4F81BD"/>
            <w:vAlign w:val="center"/>
          </w:tcPr>
          <w:p w:rsidR="00B81FF3" w:rsidRPr="00FA0AC2" w:rsidRDefault="00B81FF3" w:rsidP="00C426FA">
            <w:pPr>
              <w:spacing w:after="0"/>
              <w:jc w:val="center"/>
              <w:rPr>
                <w:rFonts w:ascii="Calibri" w:eastAsia="Times New Roman" w:hAnsi="Calibri" w:cs="Times New Roman"/>
                <w:b/>
                <w:bCs/>
                <w:color w:val="FFFFFF"/>
                <w:sz w:val="20"/>
                <w:lang w:eastAsia="en-GB"/>
              </w:rPr>
            </w:pPr>
            <w:r w:rsidRPr="00FA0AC2">
              <w:rPr>
                <w:rFonts w:ascii="Calibri" w:eastAsia="Times New Roman" w:hAnsi="Calibri" w:cs="Times New Roman"/>
                <w:b/>
                <w:bCs/>
                <w:color w:val="FFFFFF"/>
                <w:sz w:val="20"/>
                <w:lang w:eastAsia="en-GB"/>
              </w:rPr>
              <w:t>LA % of Social Care Days</w:t>
            </w:r>
          </w:p>
        </w:tc>
        <w:tc>
          <w:tcPr>
            <w:tcW w:w="518" w:type="pct"/>
            <w:shd w:val="clear" w:color="4F81BD" w:fill="4F81BD"/>
            <w:vAlign w:val="center"/>
          </w:tcPr>
          <w:p w:rsidR="00B81FF3" w:rsidRPr="00FA0AC2" w:rsidRDefault="00B81FF3" w:rsidP="00C426FA">
            <w:pPr>
              <w:spacing w:after="0"/>
              <w:jc w:val="center"/>
              <w:rPr>
                <w:rFonts w:ascii="Calibri" w:eastAsia="Times New Roman" w:hAnsi="Calibri" w:cs="Times New Roman"/>
                <w:b/>
                <w:bCs/>
                <w:color w:val="FFFFFF"/>
                <w:sz w:val="20"/>
                <w:lang w:eastAsia="en-GB"/>
              </w:rPr>
            </w:pPr>
            <w:r w:rsidRPr="00FA0AC2">
              <w:rPr>
                <w:rFonts w:ascii="Calibri" w:eastAsia="Times New Roman" w:hAnsi="Calibri" w:cs="Times New Roman"/>
                <w:b/>
                <w:bCs/>
                <w:color w:val="FFFFFF"/>
                <w:sz w:val="20"/>
                <w:lang w:eastAsia="en-GB"/>
              </w:rPr>
              <w:t>LA % of Total Days</w:t>
            </w:r>
          </w:p>
        </w:tc>
      </w:tr>
      <w:tr w:rsidR="00C426FA" w:rsidRPr="00FA0AC2" w:rsidTr="004B3545">
        <w:trPr>
          <w:trHeight w:val="300"/>
        </w:trPr>
        <w:tc>
          <w:tcPr>
            <w:tcW w:w="1836" w:type="pct"/>
            <w:shd w:val="clear" w:color="DCE6F1" w:fill="DCE6F1"/>
            <w:noWrap/>
            <w:vAlign w:val="bottom"/>
            <w:hideMark/>
          </w:tcPr>
          <w:p w:rsidR="00C426FA" w:rsidRPr="00FA0AC2" w:rsidRDefault="00C426FA" w:rsidP="00C426FA">
            <w:pPr>
              <w:autoSpaceDE/>
              <w:autoSpaceDN/>
              <w:adjustRightInd/>
              <w:spacing w:after="0"/>
              <w:jc w:val="lef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BLACKPOOL TEACHING HOSPITALS NHS FOUNDATION TRUST</w:t>
            </w:r>
          </w:p>
        </w:tc>
        <w:tc>
          <w:tcPr>
            <w:tcW w:w="528"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358</w:t>
            </w:r>
          </w:p>
        </w:tc>
        <w:tc>
          <w:tcPr>
            <w:tcW w:w="468"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440</w:t>
            </w:r>
          </w:p>
        </w:tc>
        <w:tc>
          <w:tcPr>
            <w:tcW w:w="551"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183</w:t>
            </w:r>
          </w:p>
        </w:tc>
        <w:tc>
          <w:tcPr>
            <w:tcW w:w="549"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981</w:t>
            </w:r>
          </w:p>
        </w:tc>
        <w:tc>
          <w:tcPr>
            <w:tcW w:w="550" w:type="pct"/>
            <w:shd w:val="clear" w:color="DCE6F1" w:fill="DCE6F1"/>
            <w:vAlign w:val="bottom"/>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hAnsi="Calibri"/>
                <w:b/>
                <w:bCs/>
                <w:sz w:val="20"/>
                <w:szCs w:val="22"/>
              </w:rPr>
              <w:t>16.9%</w:t>
            </w:r>
          </w:p>
        </w:tc>
        <w:tc>
          <w:tcPr>
            <w:tcW w:w="518" w:type="pct"/>
            <w:shd w:val="clear" w:color="DCE6F1" w:fill="DCE6F1"/>
            <w:vAlign w:val="bottom"/>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hAnsi="Calibri"/>
                <w:b/>
                <w:bCs/>
                <w:sz w:val="20"/>
                <w:szCs w:val="22"/>
              </w:rPr>
              <w:t>16.5%</w:t>
            </w:r>
          </w:p>
        </w:tc>
      </w:tr>
      <w:tr w:rsidR="00C426FA" w:rsidRPr="00FA0AC2" w:rsidTr="004B3545">
        <w:trPr>
          <w:trHeight w:val="300"/>
        </w:trPr>
        <w:tc>
          <w:tcPr>
            <w:tcW w:w="1836" w:type="pct"/>
            <w:shd w:val="clear" w:color="auto" w:fill="auto"/>
            <w:noWrap/>
            <w:vAlign w:val="bottom"/>
            <w:hideMark/>
          </w:tcPr>
          <w:p w:rsidR="00C426FA" w:rsidRPr="00FA0AC2"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BLACKPOOL UA</w:t>
            </w:r>
          </w:p>
        </w:tc>
        <w:tc>
          <w:tcPr>
            <w:tcW w:w="52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156</w:t>
            </w:r>
          </w:p>
        </w:tc>
        <w:tc>
          <w:tcPr>
            <w:tcW w:w="46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215</w:t>
            </w:r>
          </w:p>
        </w:tc>
        <w:tc>
          <w:tcPr>
            <w:tcW w:w="551"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48</w:t>
            </w:r>
          </w:p>
        </w:tc>
        <w:tc>
          <w:tcPr>
            <w:tcW w:w="549"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419</w:t>
            </w:r>
          </w:p>
        </w:tc>
        <w:tc>
          <w:tcPr>
            <w:tcW w:w="550"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48.9%</w:t>
            </w:r>
          </w:p>
        </w:tc>
        <w:tc>
          <w:tcPr>
            <w:tcW w:w="518"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42.7%</w:t>
            </w:r>
          </w:p>
        </w:tc>
      </w:tr>
      <w:tr w:rsidR="00C426FA" w:rsidRPr="00FA0AC2" w:rsidTr="004B3545">
        <w:trPr>
          <w:trHeight w:val="300"/>
        </w:trPr>
        <w:tc>
          <w:tcPr>
            <w:tcW w:w="1836" w:type="pct"/>
            <w:shd w:val="clear" w:color="auto" w:fill="auto"/>
            <w:noWrap/>
            <w:vAlign w:val="bottom"/>
            <w:hideMark/>
          </w:tcPr>
          <w:p w:rsidR="00C426FA" w:rsidRPr="00FA0AC2"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LANCASHIRE</w:t>
            </w:r>
          </w:p>
        </w:tc>
        <w:tc>
          <w:tcPr>
            <w:tcW w:w="52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202</w:t>
            </w:r>
          </w:p>
        </w:tc>
        <w:tc>
          <w:tcPr>
            <w:tcW w:w="46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225</w:t>
            </w:r>
          </w:p>
        </w:tc>
        <w:tc>
          <w:tcPr>
            <w:tcW w:w="551"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135</w:t>
            </w:r>
          </w:p>
        </w:tc>
        <w:tc>
          <w:tcPr>
            <w:tcW w:w="549"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562</w:t>
            </w:r>
          </w:p>
        </w:tc>
        <w:tc>
          <w:tcPr>
            <w:tcW w:w="550"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51.1%</w:t>
            </w:r>
          </w:p>
        </w:tc>
        <w:tc>
          <w:tcPr>
            <w:tcW w:w="518"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57.3%</w:t>
            </w:r>
          </w:p>
        </w:tc>
      </w:tr>
      <w:tr w:rsidR="00C426FA" w:rsidRPr="00FA0AC2" w:rsidTr="004B3545">
        <w:trPr>
          <w:trHeight w:val="300"/>
        </w:trPr>
        <w:tc>
          <w:tcPr>
            <w:tcW w:w="1836" w:type="pct"/>
            <w:shd w:val="clear" w:color="DCE6F1" w:fill="DCE6F1"/>
            <w:noWrap/>
            <w:vAlign w:val="bottom"/>
            <w:hideMark/>
          </w:tcPr>
          <w:p w:rsidR="00C426FA" w:rsidRPr="00FA0AC2" w:rsidRDefault="00C426FA" w:rsidP="00C426FA">
            <w:pPr>
              <w:autoSpaceDE/>
              <w:autoSpaceDN/>
              <w:adjustRightInd/>
              <w:spacing w:after="0"/>
              <w:jc w:val="lef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EAST LANCASHIRE HOSPITALS NHS TRUST</w:t>
            </w:r>
          </w:p>
        </w:tc>
        <w:tc>
          <w:tcPr>
            <w:tcW w:w="528"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516</w:t>
            </w:r>
          </w:p>
        </w:tc>
        <w:tc>
          <w:tcPr>
            <w:tcW w:w="468"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337</w:t>
            </w:r>
          </w:p>
        </w:tc>
        <w:tc>
          <w:tcPr>
            <w:tcW w:w="551"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172</w:t>
            </w:r>
          </w:p>
        </w:tc>
        <w:tc>
          <w:tcPr>
            <w:tcW w:w="549"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1025</w:t>
            </w:r>
          </w:p>
        </w:tc>
        <w:tc>
          <w:tcPr>
            <w:tcW w:w="550" w:type="pct"/>
            <w:shd w:val="clear" w:color="DCE6F1" w:fill="DCE6F1"/>
            <w:vAlign w:val="bottom"/>
          </w:tcPr>
          <w:p w:rsidR="00C426FA" w:rsidRPr="00FA0AC2" w:rsidRDefault="00C426FA" w:rsidP="00C426FA">
            <w:pPr>
              <w:spacing w:after="0"/>
              <w:jc w:val="right"/>
              <w:rPr>
                <w:rFonts w:ascii="Calibri" w:hAnsi="Calibri"/>
                <w:b/>
                <w:bCs/>
                <w:sz w:val="20"/>
                <w:szCs w:val="22"/>
              </w:rPr>
            </w:pPr>
            <w:r w:rsidRPr="00FA0AC2">
              <w:rPr>
                <w:rFonts w:ascii="Calibri" w:hAnsi="Calibri"/>
                <w:b/>
                <w:bCs/>
                <w:sz w:val="20"/>
                <w:szCs w:val="22"/>
              </w:rPr>
              <w:t>12.9%</w:t>
            </w:r>
          </w:p>
        </w:tc>
        <w:tc>
          <w:tcPr>
            <w:tcW w:w="518" w:type="pct"/>
            <w:shd w:val="clear" w:color="DCE6F1" w:fill="DCE6F1"/>
            <w:vAlign w:val="bottom"/>
          </w:tcPr>
          <w:p w:rsidR="00C426FA" w:rsidRPr="00FA0AC2" w:rsidRDefault="00C426FA" w:rsidP="00C426FA">
            <w:pPr>
              <w:spacing w:after="0"/>
              <w:jc w:val="right"/>
              <w:rPr>
                <w:rFonts w:ascii="Calibri" w:hAnsi="Calibri"/>
                <w:b/>
                <w:bCs/>
                <w:sz w:val="20"/>
                <w:szCs w:val="22"/>
              </w:rPr>
            </w:pPr>
            <w:r w:rsidRPr="00FA0AC2">
              <w:rPr>
                <w:rFonts w:ascii="Calibri" w:hAnsi="Calibri"/>
                <w:b/>
                <w:bCs/>
                <w:sz w:val="20"/>
                <w:szCs w:val="22"/>
              </w:rPr>
              <w:t>17.2%</w:t>
            </w:r>
          </w:p>
        </w:tc>
      </w:tr>
      <w:tr w:rsidR="00C426FA" w:rsidRPr="00FA0AC2" w:rsidTr="004B3545">
        <w:trPr>
          <w:trHeight w:val="300"/>
        </w:trPr>
        <w:tc>
          <w:tcPr>
            <w:tcW w:w="1836" w:type="pct"/>
            <w:shd w:val="clear" w:color="auto" w:fill="auto"/>
            <w:noWrap/>
            <w:vAlign w:val="bottom"/>
            <w:hideMark/>
          </w:tcPr>
          <w:p w:rsidR="00C426FA" w:rsidRPr="00FA0AC2"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BLACKBURN WITH DARWEN UA</w:t>
            </w:r>
          </w:p>
        </w:tc>
        <w:tc>
          <w:tcPr>
            <w:tcW w:w="52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140</w:t>
            </w:r>
          </w:p>
        </w:tc>
        <w:tc>
          <w:tcPr>
            <w:tcW w:w="46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96</w:t>
            </w:r>
          </w:p>
        </w:tc>
        <w:tc>
          <w:tcPr>
            <w:tcW w:w="551"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58</w:t>
            </w:r>
          </w:p>
        </w:tc>
        <w:tc>
          <w:tcPr>
            <w:tcW w:w="549"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294</w:t>
            </w:r>
          </w:p>
        </w:tc>
        <w:tc>
          <w:tcPr>
            <w:tcW w:w="550"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28.5%</w:t>
            </w:r>
          </w:p>
        </w:tc>
        <w:tc>
          <w:tcPr>
            <w:tcW w:w="518"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28.7%</w:t>
            </w:r>
          </w:p>
        </w:tc>
      </w:tr>
      <w:tr w:rsidR="00C426FA" w:rsidRPr="00FA0AC2" w:rsidTr="004B3545">
        <w:trPr>
          <w:trHeight w:val="300"/>
        </w:trPr>
        <w:tc>
          <w:tcPr>
            <w:tcW w:w="1836" w:type="pct"/>
            <w:shd w:val="clear" w:color="auto" w:fill="auto"/>
            <w:noWrap/>
            <w:vAlign w:val="bottom"/>
            <w:hideMark/>
          </w:tcPr>
          <w:p w:rsidR="00C426FA" w:rsidRPr="00FA0AC2"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CALDERDALE</w:t>
            </w:r>
          </w:p>
        </w:tc>
        <w:tc>
          <w:tcPr>
            <w:tcW w:w="52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0</w:t>
            </w:r>
          </w:p>
        </w:tc>
        <w:tc>
          <w:tcPr>
            <w:tcW w:w="46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21</w:t>
            </w:r>
          </w:p>
        </w:tc>
        <w:tc>
          <w:tcPr>
            <w:tcW w:w="551"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0</w:t>
            </w:r>
          </w:p>
        </w:tc>
        <w:tc>
          <w:tcPr>
            <w:tcW w:w="549"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21</w:t>
            </w:r>
          </w:p>
        </w:tc>
        <w:tc>
          <w:tcPr>
            <w:tcW w:w="550"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6.2%</w:t>
            </w:r>
          </w:p>
        </w:tc>
        <w:tc>
          <w:tcPr>
            <w:tcW w:w="518"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2.0%</w:t>
            </w:r>
          </w:p>
        </w:tc>
      </w:tr>
      <w:tr w:rsidR="00C426FA" w:rsidRPr="00FA0AC2" w:rsidTr="004B3545">
        <w:trPr>
          <w:trHeight w:val="300"/>
        </w:trPr>
        <w:tc>
          <w:tcPr>
            <w:tcW w:w="1836" w:type="pct"/>
            <w:shd w:val="clear" w:color="auto" w:fill="auto"/>
            <w:noWrap/>
            <w:vAlign w:val="bottom"/>
            <w:hideMark/>
          </w:tcPr>
          <w:p w:rsidR="00C426FA" w:rsidRPr="00FA0AC2"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LANCASHIRE</w:t>
            </w:r>
          </w:p>
        </w:tc>
        <w:tc>
          <w:tcPr>
            <w:tcW w:w="52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376</w:t>
            </w:r>
          </w:p>
        </w:tc>
        <w:tc>
          <w:tcPr>
            <w:tcW w:w="46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220</w:t>
            </w:r>
          </w:p>
        </w:tc>
        <w:tc>
          <w:tcPr>
            <w:tcW w:w="551"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114</w:t>
            </w:r>
          </w:p>
        </w:tc>
        <w:tc>
          <w:tcPr>
            <w:tcW w:w="549"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710</w:t>
            </w:r>
          </w:p>
        </w:tc>
        <w:tc>
          <w:tcPr>
            <w:tcW w:w="550"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65.3%</w:t>
            </w:r>
          </w:p>
        </w:tc>
        <w:tc>
          <w:tcPr>
            <w:tcW w:w="518"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69.3%</w:t>
            </w:r>
          </w:p>
        </w:tc>
      </w:tr>
      <w:tr w:rsidR="00C426FA" w:rsidRPr="00FA0AC2" w:rsidTr="004B3545">
        <w:trPr>
          <w:trHeight w:val="300"/>
        </w:trPr>
        <w:tc>
          <w:tcPr>
            <w:tcW w:w="1836" w:type="pct"/>
            <w:shd w:val="clear" w:color="DCE6F1" w:fill="DCE6F1"/>
            <w:noWrap/>
            <w:vAlign w:val="bottom"/>
            <w:hideMark/>
          </w:tcPr>
          <w:p w:rsidR="00C426FA" w:rsidRPr="00FA0AC2" w:rsidRDefault="00C426FA" w:rsidP="00C426FA">
            <w:pPr>
              <w:autoSpaceDE/>
              <w:autoSpaceDN/>
              <w:adjustRightInd/>
              <w:spacing w:after="0"/>
              <w:jc w:val="lef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LANCASHIRE CARE NHS FOUNDATION TRUST</w:t>
            </w:r>
          </w:p>
        </w:tc>
        <w:tc>
          <w:tcPr>
            <w:tcW w:w="528"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76</w:t>
            </w:r>
          </w:p>
        </w:tc>
        <w:tc>
          <w:tcPr>
            <w:tcW w:w="468"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120</w:t>
            </w:r>
          </w:p>
        </w:tc>
        <w:tc>
          <w:tcPr>
            <w:tcW w:w="551"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146</w:t>
            </w:r>
          </w:p>
        </w:tc>
        <w:tc>
          <w:tcPr>
            <w:tcW w:w="549" w:type="pct"/>
            <w:shd w:val="clear" w:color="DCE6F1" w:fill="DCE6F1"/>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b/>
                <w:bCs/>
                <w:sz w:val="20"/>
                <w:szCs w:val="22"/>
                <w:lang w:eastAsia="en-GB"/>
              </w:rPr>
            </w:pPr>
            <w:r w:rsidRPr="00FA0AC2">
              <w:rPr>
                <w:rFonts w:ascii="Calibri" w:eastAsia="Times New Roman" w:hAnsi="Calibri" w:cs="Times New Roman"/>
                <w:b/>
                <w:bCs/>
                <w:sz w:val="20"/>
                <w:szCs w:val="22"/>
                <w:lang w:eastAsia="en-GB"/>
              </w:rPr>
              <w:t>342</w:t>
            </w:r>
          </w:p>
        </w:tc>
        <w:tc>
          <w:tcPr>
            <w:tcW w:w="550" w:type="pct"/>
            <w:shd w:val="clear" w:color="DCE6F1" w:fill="DCE6F1"/>
            <w:vAlign w:val="bottom"/>
          </w:tcPr>
          <w:p w:rsidR="00C426FA" w:rsidRPr="00FA0AC2" w:rsidRDefault="00C426FA" w:rsidP="00C426FA">
            <w:pPr>
              <w:spacing w:after="0"/>
              <w:jc w:val="right"/>
              <w:rPr>
                <w:rFonts w:ascii="Calibri" w:hAnsi="Calibri"/>
                <w:b/>
                <w:bCs/>
                <w:sz w:val="20"/>
                <w:szCs w:val="22"/>
              </w:rPr>
            </w:pPr>
            <w:r w:rsidRPr="00FA0AC2">
              <w:rPr>
                <w:rFonts w:ascii="Calibri" w:hAnsi="Calibri"/>
                <w:b/>
                <w:bCs/>
                <w:sz w:val="20"/>
                <w:szCs w:val="22"/>
              </w:rPr>
              <w:t>4.6%</w:t>
            </w:r>
          </w:p>
        </w:tc>
        <w:tc>
          <w:tcPr>
            <w:tcW w:w="518" w:type="pct"/>
            <w:shd w:val="clear" w:color="DCE6F1" w:fill="DCE6F1"/>
            <w:vAlign w:val="bottom"/>
          </w:tcPr>
          <w:p w:rsidR="00C426FA" w:rsidRPr="00FA0AC2" w:rsidRDefault="00C426FA" w:rsidP="00C426FA">
            <w:pPr>
              <w:spacing w:after="0"/>
              <w:jc w:val="right"/>
              <w:rPr>
                <w:rFonts w:ascii="Calibri" w:hAnsi="Calibri"/>
                <w:b/>
                <w:bCs/>
                <w:sz w:val="20"/>
                <w:szCs w:val="22"/>
              </w:rPr>
            </w:pPr>
            <w:r w:rsidRPr="00FA0AC2">
              <w:rPr>
                <w:rFonts w:ascii="Calibri" w:hAnsi="Calibri"/>
                <w:b/>
                <w:bCs/>
                <w:sz w:val="20"/>
                <w:szCs w:val="22"/>
              </w:rPr>
              <w:t>5.7%</w:t>
            </w:r>
          </w:p>
        </w:tc>
      </w:tr>
      <w:tr w:rsidR="00C426FA" w:rsidRPr="00FA0AC2" w:rsidTr="004B3545">
        <w:trPr>
          <w:trHeight w:val="300"/>
        </w:trPr>
        <w:tc>
          <w:tcPr>
            <w:tcW w:w="1836" w:type="pct"/>
            <w:shd w:val="clear" w:color="auto" w:fill="auto"/>
            <w:noWrap/>
            <w:vAlign w:val="bottom"/>
            <w:hideMark/>
          </w:tcPr>
          <w:p w:rsidR="00C426FA" w:rsidRPr="00FA0AC2"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BLACKBURN WITH DARWEN UA</w:t>
            </w:r>
          </w:p>
        </w:tc>
        <w:tc>
          <w:tcPr>
            <w:tcW w:w="52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0</w:t>
            </w:r>
          </w:p>
        </w:tc>
        <w:tc>
          <w:tcPr>
            <w:tcW w:w="46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0</w:t>
            </w:r>
          </w:p>
        </w:tc>
        <w:tc>
          <w:tcPr>
            <w:tcW w:w="551"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0</w:t>
            </w:r>
          </w:p>
        </w:tc>
        <w:tc>
          <w:tcPr>
            <w:tcW w:w="549"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0</w:t>
            </w:r>
          </w:p>
        </w:tc>
        <w:tc>
          <w:tcPr>
            <w:tcW w:w="550"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0.0%</w:t>
            </w:r>
          </w:p>
        </w:tc>
        <w:tc>
          <w:tcPr>
            <w:tcW w:w="518"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0.0%</w:t>
            </w:r>
          </w:p>
        </w:tc>
      </w:tr>
      <w:tr w:rsidR="00C426FA" w:rsidRPr="00FA0AC2" w:rsidTr="004B3545">
        <w:trPr>
          <w:trHeight w:val="300"/>
        </w:trPr>
        <w:tc>
          <w:tcPr>
            <w:tcW w:w="1836" w:type="pct"/>
            <w:shd w:val="clear" w:color="auto" w:fill="auto"/>
            <w:noWrap/>
            <w:vAlign w:val="bottom"/>
            <w:hideMark/>
          </w:tcPr>
          <w:p w:rsidR="00C426FA" w:rsidRPr="00FA0AC2"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BLACKPOOL UA</w:t>
            </w:r>
          </w:p>
        </w:tc>
        <w:tc>
          <w:tcPr>
            <w:tcW w:w="52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0</w:t>
            </w:r>
          </w:p>
        </w:tc>
        <w:tc>
          <w:tcPr>
            <w:tcW w:w="46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0</w:t>
            </w:r>
          </w:p>
        </w:tc>
        <w:tc>
          <w:tcPr>
            <w:tcW w:w="551"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26</w:t>
            </w:r>
          </w:p>
        </w:tc>
        <w:tc>
          <w:tcPr>
            <w:tcW w:w="549"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26</w:t>
            </w:r>
          </w:p>
        </w:tc>
        <w:tc>
          <w:tcPr>
            <w:tcW w:w="550"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0.0%</w:t>
            </w:r>
          </w:p>
        </w:tc>
        <w:tc>
          <w:tcPr>
            <w:tcW w:w="518"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7.6%</w:t>
            </w:r>
          </w:p>
        </w:tc>
      </w:tr>
      <w:tr w:rsidR="00C426FA" w:rsidRPr="00B81FF3" w:rsidTr="004B3545">
        <w:trPr>
          <w:trHeight w:val="300"/>
        </w:trPr>
        <w:tc>
          <w:tcPr>
            <w:tcW w:w="1836" w:type="pct"/>
            <w:shd w:val="clear" w:color="auto" w:fill="auto"/>
            <w:noWrap/>
            <w:vAlign w:val="bottom"/>
            <w:hideMark/>
          </w:tcPr>
          <w:p w:rsidR="00C426FA" w:rsidRPr="00FA0AC2"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LANCASHIRE</w:t>
            </w:r>
          </w:p>
        </w:tc>
        <w:tc>
          <w:tcPr>
            <w:tcW w:w="52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76</w:t>
            </w:r>
          </w:p>
        </w:tc>
        <w:tc>
          <w:tcPr>
            <w:tcW w:w="468"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120</w:t>
            </w:r>
          </w:p>
        </w:tc>
        <w:tc>
          <w:tcPr>
            <w:tcW w:w="551"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120</w:t>
            </w:r>
          </w:p>
        </w:tc>
        <w:tc>
          <w:tcPr>
            <w:tcW w:w="549" w:type="pct"/>
            <w:shd w:val="clear" w:color="auto" w:fill="auto"/>
            <w:noWrap/>
            <w:vAlign w:val="bottom"/>
            <w:hideMark/>
          </w:tcPr>
          <w:p w:rsidR="00C426FA" w:rsidRPr="00FA0AC2" w:rsidRDefault="00C426FA" w:rsidP="00C426FA">
            <w:pPr>
              <w:autoSpaceDE/>
              <w:autoSpaceDN/>
              <w:adjustRightInd/>
              <w:spacing w:after="0"/>
              <w:jc w:val="right"/>
              <w:rPr>
                <w:rFonts w:ascii="Calibri" w:eastAsia="Times New Roman" w:hAnsi="Calibri" w:cs="Times New Roman"/>
                <w:sz w:val="20"/>
                <w:szCs w:val="22"/>
                <w:lang w:eastAsia="en-GB"/>
              </w:rPr>
            </w:pPr>
            <w:r w:rsidRPr="00FA0AC2">
              <w:rPr>
                <w:rFonts w:ascii="Calibri" w:eastAsia="Times New Roman" w:hAnsi="Calibri" w:cs="Times New Roman"/>
                <w:sz w:val="20"/>
                <w:szCs w:val="22"/>
                <w:lang w:eastAsia="en-GB"/>
              </w:rPr>
              <w:t>316</w:t>
            </w:r>
          </w:p>
        </w:tc>
        <w:tc>
          <w:tcPr>
            <w:tcW w:w="550" w:type="pct"/>
            <w:vAlign w:val="bottom"/>
          </w:tcPr>
          <w:p w:rsidR="00C426FA" w:rsidRPr="00FA0AC2" w:rsidRDefault="00C426FA" w:rsidP="00C426FA">
            <w:pPr>
              <w:spacing w:after="0"/>
              <w:jc w:val="right"/>
              <w:rPr>
                <w:rFonts w:ascii="Calibri" w:hAnsi="Calibri"/>
                <w:sz w:val="20"/>
                <w:szCs w:val="22"/>
              </w:rPr>
            </w:pPr>
            <w:r w:rsidRPr="00FA0AC2">
              <w:rPr>
                <w:rFonts w:ascii="Calibri" w:hAnsi="Calibri"/>
                <w:sz w:val="20"/>
                <w:szCs w:val="22"/>
              </w:rPr>
              <w:t>100.0%</w:t>
            </w:r>
          </w:p>
        </w:tc>
        <w:tc>
          <w:tcPr>
            <w:tcW w:w="518" w:type="pct"/>
            <w:vAlign w:val="bottom"/>
          </w:tcPr>
          <w:p w:rsidR="00C426FA" w:rsidRPr="00C426FA" w:rsidRDefault="00C426FA" w:rsidP="00C426FA">
            <w:pPr>
              <w:spacing w:after="0"/>
              <w:jc w:val="right"/>
              <w:rPr>
                <w:rFonts w:ascii="Calibri" w:hAnsi="Calibri"/>
                <w:sz w:val="20"/>
                <w:szCs w:val="22"/>
              </w:rPr>
            </w:pPr>
            <w:r w:rsidRPr="00FA0AC2">
              <w:rPr>
                <w:rFonts w:ascii="Calibri" w:hAnsi="Calibri"/>
                <w:sz w:val="20"/>
                <w:szCs w:val="22"/>
              </w:rPr>
              <w:t>92.4%</w:t>
            </w:r>
          </w:p>
        </w:tc>
      </w:tr>
      <w:tr w:rsidR="00C426FA" w:rsidRPr="00B81FF3" w:rsidTr="004B3545">
        <w:trPr>
          <w:trHeight w:val="300"/>
        </w:trPr>
        <w:tc>
          <w:tcPr>
            <w:tcW w:w="1836" w:type="pct"/>
            <w:shd w:val="clear" w:color="DCE6F1" w:fill="DCE6F1"/>
            <w:noWrap/>
            <w:vAlign w:val="bottom"/>
            <w:hideMark/>
          </w:tcPr>
          <w:p w:rsidR="00C426FA" w:rsidRPr="00B81FF3" w:rsidRDefault="00C426FA" w:rsidP="00C426FA">
            <w:pPr>
              <w:autoSpaceDE/>
              <w:autoSpaceDN/>
              <w:adjustRightInd/>
              <w:spacing w:after="0"/>
              <w:jc w:val="lef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LANCASHIRE TEACHING HOSPITALS NHS FOUNDATION TRUST</w:t>
            </w:r>
          </w:p>
        </w:tc>
        <w:tc>
          <w:tcPr>
            <w:tcW w:w="528"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1111</w:t>
            </w:r>
          </w:p>
        </w:tc>
        <w:tc>
          <w:tcPr>
            <w:tcW w:w="468"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1245</w:t>
            </w:r>
          </w:p>
        </w:tc>
        <w:tc>
          <w:tcPr>
            <w:tcW w:w="551"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13</w:t>
            </w:r>
          </w:p>
        </w:tc>
        <w:tc>
          <w:tcPr>
            <w:tcW w:w="549"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2369</w:t>
            </w:r>
          </w:p>
        </w:tc>
        <w:tc>
          <w:tcPr>
            <w:tcW w:w="550" w:type="pct"/>
            <w:shd w:val="clear" w:color="DCE6F1" w:fill="DCE6F1"/>
            <w:vAlign w:val="bottom"/>
          </w:tcPr>
          <w:p w:rsidR="00C426FA" w:rsidRPr="00C426FA" w:rsidRDefault="00C426FA" w:rsidP="00C426FA">
            <w:pPr>
              <w:spacing w:after="0"/>
              <w:jc w:val="right"/>
              <w:rPr>
                <w:rFonts w:ascii="Calibri" w:hAnsi="Calibri"/>
                <w:b/>
                <w:bCs/>
                <w:sz w:val="20"/>
                <w:szCs w:val="22"/>
              </w:rPr>
            </w:pPr>
            <w:r w:rsidRPr="00C426FA">
              <w:rPr>
                <w:rFonts w:ascii="Calibri" w:hAnsi="Calibri"/>
                <w:b/>
                <w:bCs/>
                <w:sz w:val="20"/>
                <w:szCs w:val="22"/>
              </w:rPr>
              <w:t>47.7%</w:t>
            </w:r>
          </w:p>
        </w:tc>
        <w:tc>
          <w:tcPr>
            <w:tcW w:w="518" w:type="pct"/>
            <w:shd w:val="clear" w:color="DCE6F1" w:fill="DCE6F1"/>
            <w:vAlign w:val="bottom"/>
          </w:tcPr>
          <w:p w:rsidR="00C426FA" w:rsidRPr="00C426FA" w:rsidRDefault="00C426FA" w:rsidP="00C426FA">
            <w:pPr>
              <w:spacing w:after="0"/>
              <w:jc w:val="right"/>
              <w:rPr>
                <w:rFonts w:ascii="Calibri" w:hAnsi="Calibri"/>
                <w:b/>
                <w:bCs/>
                <w:sz w:val="20"/>
                <w:szCs w:val="22"/>
              </w:rPr>
            </w:pPr>
            <w:r w:rsidRPr="00C426FA">
              <w:rPr>
                <w:rFonts w:ascii="Calibri" w:hAnsi="Calibri"/>
                <w:b/>
                <w:bCs/>
                <w:sz w:val="20"/>
                <w:szCs w:val="22"/>
              </w:rPr>
              <w:t>39.8%</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BLACKPOOL UA</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32</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41</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6</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79</w:t>
            </w:r>
          </w:p>
        </w:tc>
        <w:tc>
          <w:tcPr>
            <w:tcW w:w="550"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3.3%</w:t>
            </w:r>
          </w:p>
        </w:tc>
        <w:tc>
          <w:tcPr>
            <w:tcW w:w="518"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3.3%</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CUMBRIA</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31</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16</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0</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47</w:t>
            </w:r>
          </w:p>
        </w:tc>
        <w:tc>
          <w:tcPr>
            <w:tcW w:w="550"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1.3%</w:t>
            </w:r>
          </w:p>
        </w:tc>
        <w:tc>
          <w:tcPr>
            <w:tcW w:w="518"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2.0%</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KINGSTON UPON HULL UA</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0</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0</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w:t>
            </w:r>
          </w:p>
        </w:tc>
        <w:tc>
          <w:tcPr>
            <w:tcW w:w="550"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0.1%</w:t>
            </w:r>
          </w:p>
        </w:tc>
        <w:tc>
          <w:tcPr>
            <w:tcW w:w="518"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0.0%</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LANCASHIRE</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1044</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1151</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6</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2201</w:t>
            </w:r>
          </w:p>
        </w:tc>
        <w:tc>
          <w:tcPr>
            <w:tcW w:w="550"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92.4%</w:t>
            </w:r>
          </w:p>
        </w:tc>
        <w:tc>
          <w:tcPr>
            <w:tcW w:w="518"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92.9%</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STAFFORDSHIRE</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4</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7</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12</w:t>
            </w:r>
          </w:p>
        </w:tc>
        <w:tc>
          <w:tcPr>
            <w:tcW w:w="550"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0.6%</w:t>
            </w:r>
          </w:p>
        </w:tc>
        <w:tc>
          <w:tcPr>
            <w:tcW w:w="518"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0.5%</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WIGAN</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0</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29</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0</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29</w:t>
            </w:r>
          </w:p>
        </w:tc>
        <w:tc>
          <w:tcPr>
            <w:tcW w:w="550"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2.3%</w:t>
            </w:r>
          </w:p>
        </w:tc>
        <w:tc>
          <w:tcPr>
            <w:tcW w:w="518"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1.2%</w:t>
            </w:r>
          </w:p>
        </w:tc>
      </w:tr>
      <w:tr w:rsidR="00C426FA" w:rsidRPr="00B81FF3" w:rsidTr="004B3545">
        <w:trPr>
          <w:trHeight w:val="300"/>
        </w:trPr>
        <w:tc>
          <w:tcPr>
            <w:tcW w:w="1836" w:type="pct"/>
            <w:shd w:val="clear" w:color="DCE6F1" w:fill="DCE6F1"/>
            <w:noWrap/>
            <w:vAlign w:val="bottom"/>
            <w:hideMark/>
          </w:tcPr>
          <w:p w:rsidR="00C426FA" w:rsidRPr="00B81FF3" w:rsidRDefault="00C426FA" w:rsidP="00C426FA">
            <w:pPr>
              <w:autoSpaceDE/>
              <w:autoSpaceDN/>
              <w:adjustRightInd/>
              <w:spacing w:after="0"/>
              <w:jc w:val="lef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SOUTHPORT AND ORMSKIRK HOSPITAL NHS TRUST</w:t>
            </w:r>
          </w:p>
        </w:tc>
        <w:tc>
          <w:tcPr>
            <w:tcW w:w="528"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271</w:t>
            </w:r>
          </w:p>
        </w:tc>
        <w:tc>
          <w:tcPr>
            <w:tcW w:w="468"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1</w:t>
            </w:r>
          </w:p>
        </w:tc>
        <w:tc>
          <w:tcPr>
            <w:tcW w:w="551"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0</w:t>
            </w:r>
          </w:p>
        </w:tc>
        <w:tc>
          <w:tcPr>
            <w:tcW w:w="549"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272</w:t>
            </w:r>
          </w:p>
        </w:tc>
        <w:tc>
          <w:tcPr>
            <w:tcW w:w="550" w:type="pct"/>
            <w:shd w:val="clear" w:color="DCE6F1" w:fill="DCE6F1"/>
            <w:vAlign w:val="bottom"/>
          </w:tcPr>
          <w:p w:rsidR="00C426FA" w:rsidRPr="00C426FA" w:rsidRDefault="00C426FA" w:rsidP="00C426FA">
            <w:pPr>
              <w:spacing w:after="0"/>
              <w:jc w:val="right"/>
              <w:rPr>
                <w:rFonts w:ascii="Calibri" w:hAnsi="Calibri"/>
                <w:b/>
                <w:bCs/>
                <w:sz w:val="20"/>
                <w:szCs w:val="22"/>
              </w:rPr>
            </w:pPr>
            <w:r w:rsidRPr="00C426FA">
              <w:rPr>
                <w:rFonts w:ascii="Calibri" w:hAnsi="Calibri"/>
                <w:b/>
                <w:bCs/>
                <w:sz w:val="20"/>
                <w:szCs w:val="22"/>
              </w:rPr>
              <w:t>0.0%</w:t>
            </w:r>
          </w:p>
        </w:tc>
        <w:tc>
          <w:tcPr>
            <w:tcW w:w="518" w:type="pct"/>
            <w:shd w:val="clear" w:color="DCE6F1" w:fill="DCE6F1"/>
            <w:vAlign w:val="bottom"/>
          </w:tcPr>
          <w:p w:rsidR="00C426FA" w:rsidRPr="00C426FA" w:rsidRDefault="00C426FA" w:rsidP="00C426FA">
            <w:pPr>
              <w:spacing w:after="0"/>
              <w:jc w:val="right"/>
              <w:rPr>
                <w:rFonts w:ascii="Calibri" w:hAnsi="Calibri"/>
                <w:b/>
                <w:bCs/>
                <w:sz w:val="20"/>
                <w:szCs w:val="22"/>
              </w:rPr>
            </w:pPr>
            <w:r w:rsidRPr="00C426FA">
              <w:rPr>
                <w:rFonts w:ascii="Calibri" w:hAnsi="Calibri"/>
                <w:b/>
                <w:bCs/>
                <w:sz w:val="20"/>
                <w:szCs w:val="22"/>
              </w:rPr>
              <w:t>4.6%</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LANCASHIRE</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83</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0</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84</w:t>
            </w:r>
          </w:p>
        </w:tc>
        <w:tc>
          <w:tcPr>
            <w:tcW w:w="550"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100.0%</w:t>
            </w:r>
          </w:p>
        </w:tc>
        <w:tc>
          <w:tcPr>
            <w:tcW w:w="518"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30.9%</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SEFTON</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188</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0</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0</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188</w:t>
            </w:r>
          </w:p>
        </w:tc>
        <w:tc>
          <w:tcPr>
            <w:tcW w:w="550"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0.0%</w:t>
            </w:r>
          </w:p>
        </w:tc>
        <w:tc>
          <w:tcPr>
            <w:tcW w:w="518"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69.1%</w:t>
            </w:r>
          </w:p>
        </w:tc>
      </w:tr>
      <w:tr w:rsidR="00C426FA" w:rsidRPr="00B81FF3" w:rsidTr="004B3545">
        <w:trPr>
          <w:trHeight w:val="300"/>
        </w:trPr>
        <w:tc>
          <w:tcPr>
            <w:tcW w:w="1836" w:type="pct"/>
            <w:shd w:val="clear" w:color="DCE6F1" w:fill="DCE6F1"/>
            <w:noWrap/>
            <w:vAlign w:val="bottom"/>
            <w:hideMark/>
          </w:tcPr>
          <w:p w:rsidR="00C426FA" w:rsidRPr="00B81FF3" w:rsidRDefault="00C426FA" w:rsidP="00C426FA">
            <w:pPr>
              <w:autoSpaceDE/>
              <w:autoSpaceDN/>
              <w:adjustRightInd/>
              <w:spacing w:after="0"/>
              <w:jc w:val="lef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UNIVERSITY HOSPITALS OF MORECAMBE BAY NHS FOUNDATION TRUST</w:t>
            </w:r>
          </w:p>
        </w:tc>
        <w:tc>
          <w:tcPr>
            <w:tcW w:w="528"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414</w:t>
            </w:r>
          </w:p>
        </w:tc>
        <w:tc>
          <w:tcPr>
            <w:tcW w:w="468"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465</w:t>
            </w:r>
          </w:p>
        </w:tc>
        <w:tc>
          <w:tcPr>
            <w:tcW w:w="551"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82</w:t>
            </w:r>
          </w:p>
        </w:tc>
        <w:tc>
          <w:tcPr>
            <w:tcW w:w="549" w:type="pct"/>
            <w:shd w:val="clear" w:color="DCE6F1" w:fill="DCE6F1"/>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961</w:t>
            </w:r>
          </w:p>
        </w:tc>
        <w:tc>
          <w:tcPr>
            <w:tcW w:w="550" w:type="pct"/>
            <w:shd w:val="clear" w:color="DCE6F1" w:fill="DCE6F1"/>
            <w:vAlign w:val="bottom"/>
          </w:tcPr>
          <w:p w:rsidR="00C426FA" w:rsidRPr="00C426FA" w:rsidRDefault="00C426FA" w:rsidP="00C426FA">
            <w:pPr>
              <w:spacing w:after="0"/>
              <w:jc w:val="right"/>
              <w:rPr>
                <w:rFonts w:ascii="Calibri" w:hAnsi="Calibri"/>
                <w:b/>
                <w:bCs/>
                <w:sz w:val="20"/>
                <w:szCs w:val="22"/>
              </w:rPr>
            </w:pPr>
            <w:r w:rsidRPr="00C426FA">
              <w:rPr>
                <w:rFonts w:ascii="Calibri" w:hAnsi="Calibri"/>
                <w:b/>
                <w:bCs/>
                <w:sz w:val="20"/>
                <w:szCs w:val="22"/>
              </w:rPr>
              <w:t>17.8%</w:t>
            </w:r>
          </w:p>
        </w:tc>
        <w:tc>
          <w:tcPr>
            <w:tcW w:w="518" w:type="pct"/>
            <w:shd w:val="clear" w:color="DCE6F1" w:fill="DCE6F1"/>
            <w:vAlign w:val="bottom"/>
          </w:tcPr>
          <w:p w:rsidR="00C426FA" w:rsidRPr="00C426FA" w:rsidRDefault="00C426FA" w:rsidP="00C426FA">
            <w:pPr>
              <w:spacing w:after="0"/>
              <w:jc w:val="right"/>
              <w:rPr>
                <w:rFonts w:ascii="Calibri" w:hAnsi="Calibri"/>
                <w:b/>
                <w:bCs/>
                <w:sz w:val="20"/>
                <w:szCs w:val="22"/>
              </w:rPr>
            </w:pPr>
            <w:r w:rsidRPr="00C426FA">
              <w:rPr>
                <w:rFonts w:ascii="Calibri" w:hAnsi="Calibri"/>
                <w:b/>
                <w:bCs/>
                <w:sz w:val="20"/>
                <w:szCs w:val="22"/>
              </w:rPr>
              <w:t>16.2%</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CUMBRIA</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83</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361</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63</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507</w:t>
            </w:r>
          </w:p>
        </w:tc>
        <w:tc>
          <w:tcPr>
            <w:tcW w:w="550"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77.6%</w:t>
            </w:r>
          </w:p>
        </w:tc>
        <w:tc>
          <w:tcPr>
            <w:tcW w:w="518"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52.8%</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LANCASHIRE</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327</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104</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19</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450</w:t>
            </w:r>
          </w:p>
        </w:tc>
        <w:tc>
          <w:tcPr>
            <w:tcW w:w="550"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22.4%</w:t>
            </w:r>
          </w:p>
        </w:tc>
        <w:tc>
          <w:tcPr>
            <w:tcW w:w="518"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46.8%</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ind w:firstLineChars="100" w:firstLine="200"/>
              <w:jc w:val="lef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STOCKPORT</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4</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0</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0</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sz w:val="20"/>
                <w:szCs w:val="22"/>
                <w:lang w:eastAsia="en-GB"/>
              </w:rPr>
            </w:pPr>
            <w:r w:rsidRPr="00B81FF3">
              <w:rPr>
                <w:rFonts w:ascii="Calibri" w:eastAsia="Times New Roman" w:hAnsi="Calibri" w:cs="Times New Roman"/>
                <w:sz w:val="20"/>
                <w:szCs w:val="22"/>
                <w:lang w:eastAsia="en-GB"/>
              </w:rPr>
              <w:t>4</w:t>
            </w:r>
          </w:p>
        </w:tc>
        <w:tc>
          <w:tcPr>
            <w:tcW w:w="550"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0.0%</w:t>
            </w:r>
          </w:p>
        </w:tc>
        <w:tc>
          <w:tcPr>
            <w:tcW w:w="518" w:type="pct"/>
            <w:vAlign w:val="bottom"/>
          </w:tcPr>
          <w:p w:rsidR="00C426FA" w:rsidRPr="00C426FA" w:rsidRDefault="00C426FA" w:rsidP="00C426FA">
            <w:pPr>
              <w:spacing w:after="0"/>
              <w:jc w:val="right"/>
              <w:rPr>
                <w:rFonts w:ascii="Calibri" w:hAnsi="Calibri"/>
                <w:sz w:val="20"/>
                <w:szCs w:val="22"/>
              </w:rPr>
            </w:pPr>
            <w:r w:rsidRPr="00C426FA">
              <w:rPr>
                <w:rFonts w:ascii="Calibri" w:hAnsi="Calibri"/>
                <w:sz w:val="20"/>
                <w:szCs w:val="22"/>
              </w:rPr>
              <w:t>0.4%</w:t>
            </w:r>
          </w:p>
        </w:tc>
      </w:tr>
      <w:tr w:rsidR="00C426FA" w:rsidRPr="00B81FF3" w:rsidTr="004B3545">
        <w:trPr>
          <w:trHeight w:val="300"/>
        </w:trPr>
        <w:tc>
          <w:tcPr>
            <w:tcW w:w="1836" w:type="pct"/>
            <w:shd w:val="clear" w:color="auto" w:fill="auto"/>
            <w:noWrap/>
            <w:vAlign w:val="bottom"/>
            <w:hideMark/>
          </w:tcPr>
          <w:p w:rsidR="00C426FA" w:rsidRPr="00B81FF3" w:rsidRDefault="00C426FA" w:rsidP="00C426FA">
            <w:pPr>
              <w:autoSpaceDE/>
              <w:autoSpaceDN/>
              <w:adjustRightInd/>
              <w:spacing w:after="0"/>
              <w:jc w:val="lef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Grand Total</w:t>
            </w:r>
          </w:p>
        </w:tc>
        <w:tc>
          <w:tcPr>
            <w:tcW w:w="52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2746</w:t>
            </w:r>
          </w:p>
        </w:tc>
        <w:tc>
          <w:tcPr>
            <w:tcW w:w="468"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2608</w:t>
            </w:r>
          </w:p>
        </w:tc>
        <w:tc>
          <w:tcPr>
            <w:tcW w:w="551"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596</w:t>
            </w:r>
          </w:p>
        </w:tc>
        <w:tc>
          <w:tcPr>
            <w:tcW w:w="549" w:type="pct"/>
            <w:shd w:val="clear" w:color="auto" w:fill="auto"/>
            <w:noWrap/>
            <w:vAlign w:val="bottom"/>
            <w:hideMark/>
          </w:tcPr>
          <w:p w:rsidR="00C426FA" w:rsidRPr="00B81FF3" w:rsidRDefault="00C426FA" w:rsidP="00C426FA">
            <w:pPr>
              <w:autoSpaceDE/>
              <w:autoSpaceDN/>
              <w:adjustRightInd/>
              <w:spacing w:after="0"/>
              <w:jc w:val="right"/>
              <w:rPr>
                <w:rFonts w:ascii="Calibri" w:eastAsia="Times New Roman" w:hAnsi="Calibri" w:cs="Times New Roman"/>
                <w:b/>
                <w:bCs/>
                <w:sz w:val="20"/>
                <w:szCs w:val="22"/>
                <w:lang w:eastAsia="en-GB"/>
              </w:rPr>
            </w:pPr>
            <w:r w:rsidRPr="00B81FF3">
              <w:rPr>
                <w:rFonts w:ascii="Calibri" w:eastAsia="Times New Roman" w:hAnsi="Calibri" w:cs="Times New Roman"/>
                <w:b/>
                <w:bCs/>
                <w:sz w:val="20"/>
                <w:szCs w:val="22"/>
                <w:lang w:eastAsia="en-GB"/>
              </w:rPr>
              <w:t>5950</w:t>
            </w:r>
          </w:p>
        </w:tc>
        <w:tc>
          <w:tcPr>
            <w:tcW w:w="550" w:type="pct"/>
            <w:vAlign w:val="bottom"/>
          </w:tcPr>
          <w:p w:rsidR="00C426FA" w:rsidRPr="00C426FA" w:rsidRDefault="00C426FA" w:rsidP="00C426FA">
            <w:pPr>
              <w:spacing w:after="0"/>
              <w:jc w:val="right"/>
              <w:rPr>
                <w:rFonts w:ascii="Calibri" w:hAnsi="Calibri"/>
                <w:b/>
                <w:bCs/>
                <w:sz w:val="20"/>
                <w:szCs w:val="22"/>
              </w:rPr>
            </w:pPr>
            <w:r w:rsidRPr="00C426FA">
              <w:rPr>
                <w:rFonts w:ascii="Calibri" w:hAnsi="Calibri"/>
                <w:b/>
                <w:bCs/>
                <w:sz w:val="20"/>
                <w:szCs w:val="22"/>
              </w:rPr>
              <w:t>100.0%</w:t>
            </w:r>
          </w:p>
        </w:tc>
        <w:tc>
          <w:tcPr>
            <w:tcW w:w="518" w:type="pct"/>
            <w:vAlign w:val="bottom"/>
          </w:tcPr>
          <w:p w:rsidR="00C426FA" w:rsidRPr="00C426FA" w:rsidRDefault="00C426FA" w:rsidP="00C426FA">
            <w:pPr>
              <w:spacing w:after="0"/>
              <w:jc w:val="right"/>
              <w:rPr>
                <w:rFonts w:ascii="Calibri" w:hAnsi="Calibri"/>
                <w:b/>
                <w:bCs/>
                <w:sz w:val="20"/>
                <w:szCs w:val="22"/>
              </w:rPr>
            </w:pPr>
            <w:r w:rsidRPr="00C426FA">
              <w:rPr>
                <w:rFonts w:ascii="Calibri" w:hAnsi="Calibri"/>
                <w:b/>
                <w:bCs/>
                <w:sz w:val="20"/>
                <w:szCs w:val="22"/>
              </w:rPr>
              <w:t>100.0%</w:t>
            </w:r>
          </w:p>
        </w:tc>
      </w:tr>
    </w:tbl>
    <w:p w:rsidR="00B81FF3" w:rsidRPr="00B81FF3" w:rsidRDefault="00B81FF3" w:rsidP="00D20769">
      <w:pPr>
        <w:spacing w:after="0" w:line="259" w:lineRule="auto"/>
        <w:rPr>
          <w:rFonts w:cs="Arial"/>
        </w:rPr>
      </w:pPr>
    </w:p>
    <w:p w:rsidR="00D20769" w:rsidRPr="00B81FF3" w:rsidRDefault="00D20769" w:rsidP="00D20769">
      <w:pPr>
        <w:spacing w:after="0" w:line="259" w:lineRule="auto"/>
        <w:rPr>
          <w:rFonts w:cs="Arial"/>
        </w:rPr>
      </w:pPr>
    </w:p>
    <w:p w:rsidR="00D20769" w:rsidRPr="00CA3C5C" w:rsidRDefault="00D20769" w:rsidP="00D20769">
      <w:pPr>
        <w:spacing w:after="0" w:line="259" w:lineRule="auto"/>
        <w:rPr>
          <w:rFonts w:cs="Arial"/>
          <w:b/>
        </w:rPr>
      </w:pPr>
    </w:p>
    <w:p w:rsidR="00D20769" w:rsidRPr="00CA3C5C" w:rsidRDefault="00D20769" w:rsidP="00D20769">
      <w:pPr>
        <w:spacing w:after="160" w:line="259" w:lineRule="auto"/>
        <w:rPr>
          <w:rFonts w:cs="Arial"/>
          <w:b/>
        </w:rPr>
      </w:pPr>
      <w:r w:rsidRPr="00CA3C5C">
        <w:rPr>
          <w:rFonts w:cs="Arial"/>
          <w:b/>
        </w:rPr>
        <w:br w:type="page"/>
      </w:r>
    </w:p>
    <w:p w:rsidR="00D20769" w:rsidRPr="00CA3C5C" w:rsidRDefault="00D20769" w:rsidP="0069758B">
      <w:pPr>
        <w:pStyle w:val="Heading2"/>
      </w:pPr>
      <w:bookmarkStart w:id="13" w:name="_Toc503454140"/>
      <w:r w:rsidRPr="00CA3C5C">
        <w:t>Provider Average</w:t>
      </w:r>
      <w:bookmarkEnd w:id="13"/>
    </w:p>
    <w:p w:rsidR="00D20769" w:rsidRPr="00CA3C5C" w:rsidRDefault="00D20769" w:rsidP="00D20769">
      <w:pPr>
        <w:spacing w:before="120" w:line="259" w:lineRule="auto"/>
        <w:rPr>
          <w:rFonts w:cs="Arial"/>
        </w:rPr>
      </w:pPr>
      <w:r w:rsidRPr="00CA3C5C">
        <w:rPr>
          <w:rFonts w:cs="Arial"/>
        </w:rPr>
        <w:t xml:space="preserve">In </w:t>
      </w:r>
      <w:r w:rsidR="00CA3C5C" w:rsidRPr="00CA3C5C">
        <w:rPr>
          <w:rFonts w:cs="Arial"/>
        </w:rPr>
        <w:t>Nov-</w:t>
      </w:r>
      <w:r w:rsidRPr="00CA3C5C">
        <w:rPr>
          <w:rFonts w:cs="Arial"/>
        </w:rPr>
        <w:t>17 within the six main providers accounting for most Lancashire delays, the number of delayed days recorded by each trust provider and the corresponding national ranking (1=best, 226=worst) varied enormously. (Figures relate to residents living within all local authorities, not just those in Lancashire):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686"/>
        <w:gridCol w:w="869"/>
        <w:gridCol w:w="1119"/>
        <w:gridCol w:w="709"/>
        <w:gridCol w:w="701"/>
        <w:gridCol w:w="884"/>
        <w:gridCol w:w="1134"/>
        <w:gridCol w:w="723"/>
      </w:tblGrid>
      <w:tr w:rsidR="00CA3C5C" w:rsidRPr="00CA3C5C" w:rsidTr="00CA3C5C">
        <w:trPr>
          <w:trHeight w:val="300"/>
        </w:trPr>
        <w:tc>
          <w:tcPr>
            <w:tcW w:w="2281" w:type="pct"/>
            <w:shd w:val="clear" w:color="auto" w:fill="D9D9D9" w:themeFill="background1" w:themeFillShade="D9"/>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Provider Org Name</w:t>
            </w:r>
          </w:p>
        </w:tc>
        <w:tc>
          <w:tcPr>
            <w:tcW w:w="340" w:type="pct"/>
            <w:shd w:val="clear" w:color="auto" w:fill="D9D9D9" w:themeFill="background1" w:themeFillShade="D9"/>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Sum of NHS Days</w:t>
            </w:r>
          </w:p>
        </w:tc>
        <w:tc>
          <w:tcPr>
            <w:tcW w:w="340" w:type="pct"/>
            <w:shd w:val="clear" w:color="auto" w:fill="D9D9D9" w:themeFill="background1" w:themeFillShade="D9"/>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Sum of Social Care Days</w:t>
            </w:r>
          </w:p>
        </w:tc>
        <w:tc>
          <w:tcPr>
            <w:tcW w:w="340" w:type="pct"/>
            <w:shd w:val="clear" w:color="auto" w:fill="D9D9D9" w:themeFill="background1" w:themeFillShade="D9"/>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Sum of NHS and Social Care Days</w:t>
            </w:r>
          </w:p>
        </w:tc>
        <w:tc>
          <w:tcPr>
            <w:tcW w:w="340" w:type="pct"/>
            <w:shd w:val="clear" w:color="auto" w:fill="D9D9D9" w:themeFill="background1" w:themeFillShade="D9"/>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Sum of Total Days</w:t>
            </w:r>
          </w:p>
        </w:tc>
        <w:tc>
          <w:tcPr>
            <w:tcW w:w="340" w:type="pct"/>
            <w:shd w:val="clear" w:color="auto" w:fill="D9D9D9" w:themeFill="background1" w:themeFillShade="D9"/>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Rank of NHS Days</w:t>
            </w:r>
          </w:p>
        </w:tc>
        <w:tc>
          <w:tcPr>
            <w:tcW w:w="340" w:type="pct"/>
            <w:shd w:val="clear" w:color="auto" w:fill="D9D9D9" w:themeFill="background1" w:themeFillShade="D9"/>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Rank of Social Care Days</w:t>
            </w:r>
          </w:p>
        </w:tc>
        <w:tc>
          <w:tcPr>
            <w:tcW w:w="340" w:type="pct"/>
            <w:shd w:val="clear" w:color="auto" w:fill="D9D9D9" w:themeFill="background1" w:themeFillShade="D9"/>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Rank of NHS and Social Care Days</w:t>
            </w:r>
          </w:p>
        </w:tc>
        <w:tc>
          <w:tcPr>
            <w:tcW w:w="340" w:type="pct"/>
            <w:shd w:val="clear" w:color="auto" w:fill="D9D9D9" w:themeFill="background1" w:themeFillShade="D9"/>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Rank of Total Days</w:t>
            </w:r>
          </w:p>
        </w:tc>
      </w:tr>
      <w:tr w:rsidR="0078258A" w:rsidRPr="00CA3C5C" w:rsidTr="00CA3C5C">
        <w:trPr>
          <w:trHeight w:val="300"/>
        </w:trPr>
        <w:tc>
          <w:tcPr>
            <w:tcW w:w="2281" w:type="pct"/>
            <w:shd w:val="clear" w:color="auto" w:fill="auto"/>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BLACKPOOL TEACHING HOSPITALS NHS FOUNDATION TRUST</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358</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440</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183</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981</w:t>
            </w:r>
          </w:p>
        </w:tc>
        <w:tc>
          <w:tcPr>
            <w:tcW w:w="340" w:type="pct"/>
            <w:shd w:val="clear" w:color="000000" w:fill="FFE583"/>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119</w:t>
            </w:r>
          </w:p>
        </w:tc>
        <w:tc>
          <w:tcPr>
            <w:tcW w:w="340" w:type="pct"/>
            <w:shd w:val="clear" w:color="000000" w:fill="FB9574"/>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188</w:t>
            </w:r>
          </w:p>
        </w:tc>
        <w:tc>
          <w:tcPr>
            <w:tcW w:w="340" w:type="pct"/>
            <w:shd w:val="clear" w:color="000000" w:fill="FA7F70"/>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207</w:t>
            </w:r>
          </w:p>
        </w:tc>
        <w:tc>
          <w:tcPr>
            <w:tcW w:w="340" w:type="pct"/>
            <w:shd w:val="clear" w:color="000000" w:fill="FCAA78"/>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170</w:t>
            </w:r>
          </w:p>
        </w:tc>
      </w:tr>
      <w:tr w:rsidR="0078258A" w:rsidRPr="00CA3C5C" w:rsidTr="00CA3C5C">
        <w:trPr>
          <w:trHeight w:val="300"/>
        </w:trPr>
        <w:tc>
          <w:tcPr>
            <w:tcW w:w="2281" w:type="pct"/>
            <w:shd w:val="clear" w:color="auto" w:fill="auto"/>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EAST LANCASHIRE HOSPITALS NHS TRUST</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516</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337</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172</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1025</w:t>
            </w:r>
          </w:p>
        </w:tc>
        <w:tc>
          <w:tcPr>
            <w:tcW w:w="340" w:type="pct"/>
            <w:shd w:val="clear" w:color="000000" w:fill="FDB57A"/>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161</w:t>
            </w:r>
          </w:p>
        </w:tc>
        <w:tc>
          <w:tcPr>
            <w:tcW w:w="340" w:type="pct"/>
            <w:shd w:val="clear" w:color="000000" w:fill="FCA978"/>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171</w:t>
            </w:r>
          </w:p>
        </w:tc>
        <w:tc>
          <w:tcPr>
            <w:tcW w:w="340" w:type="pct"/>
            <w:shd w:val="clear" w:color="000000" w:fill="FA8471"/>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203</w:t>
            </w:r>
          </w:p>
        </w:tc>
        <w:tc>
          <w:tcPr>
            <w:tcW w:w="340" w:type="pct"/>
            <w:shd w:val="clear" w:color="000000" w:fill="FCA577"/>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174</w:t>
            </w:r>
          </w:p>
        </w:tc>
      </w:tr>
      <w:tr w:rsidR="0078258A" w:rsidRPr="00CA3C5C" w:rsidTr="00CA3C5C">
        <w:trPr>
          <w:trHeight w:val="300"/>
        </w:trPr>
        <w:tc>
          <w:tcPr>
            <w:tcW w:w="2281" w:type="pct"/>
            <w:shd w:val="clear" w:color="auto" w:fill="auto"/>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LANCASHIRE CARE NHS FOUNDATION TRUST</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76</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120</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146</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342</w:t>
            </w:r>
          </w:p>
        </w:tc>
        <w:tc>
          <w:tcPr>
            <w:tcW w:w="340" w:type="pct"/>
            <w:shd w:val="clear" w:color="000000" w:fill="9ACE7E"/>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41</w:t>
            </w:r>
          </w:p>
        </w:tc>
        <w:tc>
          <w:tcPr>
            <w:tcW w:w="340" w:type="pct"/>
            <w:shd w:val="clear" w:color="000000" w:fill="F7E883"/>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108</w:t>
            </w:r>
          </w:p>
        </w:tc>
        <w:tc>
          <w:tcPr>
            <w:tcW w:w="340" w:type="pct"/>
            <w:shd w:val="clear" w:color="000000" w:fill="FA8871"/>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199</w:t>
            </w:r>
          </w:p>
        </w:tc>
        <w:tc>
          <w:tcPr>
            <w:tcW w:w="340" w:type="pct"/>
            <w:shd w:val="clear" w:color="000000" w:fill="CBDC81"/>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76</w:t>
            </w:r>
          </w:p>
        </w:tc>
      </w:tr>
      <w:tr w:rsidR="0078258A" w:rsidRPr="00CA3C5C" w:rsidTr="00CA3C5C">
        <w:trPr>
          <w:trHeight w:val="300"/>
        </w:trPr>
        <w:tc>
          <w:tcPr>
            <w:tcW w:w="2281" w:type="pct"/>
            <w:shd w:val="clear" w:color="auto" w:fill="auto"/>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LANCASHIRE TEACHING HOSPITALS NHS FOUNDATION TRUST</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1111</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1245</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13</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2369</w:t>
            </w:r>
          </w:p>
        </w:tc>
        <w:tc>
          <w:tcPr>
            <w:tcW w:w="340" w:type="pct"/>
            <w:shd w:val="clear" w:color="000000" w:fill="F9746D"/>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217</w:t>
            </w:r>
          </w:p>
        </w:tc>
        <w:tc>
          <w:tcPr>
            <w:tcW w:w="340" w:type="pct"/>
            <w:shd w:val="clear" w:color="000000" w:fill="F96D6C"/>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223</w:t>
            </w:r>
          </w:p>
        </w:tc>
        <w:tc>
          <w:tcPr>
            <w:tcW w:w="340" w:type="pct"/>
            <w:shd w:val="clear" w:color="000000" w:fill="FFDB81"/>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126</w:t>
            </w:r>
          </w:p>
        </w:tc>
        <w:tc>
          <w:tcPr>
            <w:tcW w:w="340" w:type="pct"/>
            <w:shd w:val="clear" w:color="000000" w:fill="F96E6C"/>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222</w:t>
            </w:r>
          </w:p>
        </w:tc>
      </w:tr>
      <w:tr w:rsidR="0078258A" w:rsidRPr="00CA3C5C" w:rsidTr="00CA3C5C">
        <w:trPr>
          <w:trHeight w:val="300"/>
        </w:trPr>
        <w:tc>
          <w:tcPr>
            <w:tcW w:w="2281" w:type="pct"/>
            <w:shd w:val="clear" w:color="auto" w:fill="auto"/>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SOUTHPORT AND ORMSKIRK HOSPITAL NHS TRUST</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271</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0</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272</w:t>
            </w:r>
          </w:p>
        </w:tc>
        <w:tc>
          <w:tcPr>
            <w:tcW w:w="340" w:type="pct"/>
            <w:shd w:val="clear" w:color="000000" w:fill="E3E382"/>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94</w:t>
            </w:r>
          </w:p>
        </w:tc>
        <w:tc>
          <w:tcPr>
            <w:tcW w:w="340" w:type="pct"/>
            <w:shd w:val="clear" w:color="000000" w:fill="7DC57C"/>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20</w:t>
            </w:r>
          </w:p>
        </w:tc>
        <w:tc>
          <w:tcPr>
            <w:tcW w:w="340" w:type="pct"/>
            <w:shd w:val="clear" w:color="000000" w:fill="63BE7B"/>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w:t>
            </w:r>
          </w:p>
        </w:tc>
        <w:tc>
          <w:tcPr>
            <w:tcW w:w="340" w:type="pct"/>
            <w:shd w:val="clear" w:color="000000" w:fill="BED880"/>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67</w:t>
            </w:r>
          </w:p>
        </w:tc>
      </w:tr>
      <w:tr w:rsidR="0078258A" w:rsidRPr="00CA3C5C" w:rsidTr="00CA3C5C">
        <w:trPr>
          <w:trHeight w:val="300"/>
        </w:trPr>
        <w:tc>
          <w:tcPr>
            <w:tcW w:w="2281" w:type="pct"/>
            <w:shd w:val="clear" w:color="auto" w:fill="auto"/>
            <w:noWrap/>
            <w:vAlign w:val="bottom"/>
            <w:hideMark/>
          </w:tcPr>
          <w:p w:rsidR="0078258A" w:rsidRPr="0078258A" w:rsidRDefault="0078258A" w:rsidP="0078258A">
            <w:pPr>
              <w:autoSpaceDE/>
              <w:autoSpaceDN/>
              <w:adjustRightInd/>
              <w:spacing w:after="0"/>
              <w:jc w:val="left"/>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UNIVERSITY HOSPITALS OF MORECAMBE BAY NHS FOUNDATION TRUST</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414</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465</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82</w:t>
            </w:r>
          </w:p>
        </w:tc>
        <w:tc>
          <w:tcPr>
            <w:tcW w:w="340" w:type="pct"/>
            <w:shd w:val="clear" w:color="auto" w:fill="auto"/>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961</w:t>
            </w:r>
          </w:p>
        </w:tc>
        <w:tc>
          <w:tcPr>
            <w:tcW w:w="340" w:type="pct"/>
            <w:shd w:val="clear" w:color="000000" w:fill="FED480"/>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134</w:t>
            </w:r>
          </w:p>
        </w:tc>
        <w:tc>
          <w:tcPr>
            <w:tcW w:w="340" w:type="pct"/>
            <w:shd w:val="clear" w:color="000000" w:fill="FB9273"/>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191</w:t>
            </w:r>
          </w:p>
        </w:tc>
        <w:tc>
          <w:tcPr>
            <w:tcW w:w="340" w:type="pct"/>
            <w:shd w:val="clear" w:color="000000" w:fill="FCA377"/>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175</w:t>
            </w:r>
          </w:p>
        </w:tc>
        <w:tc>
          <w:tcPr>
            <w:tcW w:w="340" w:type="pct"/>
            <w:shd w:val="clear" w:color="000000" w:fill="FCB079"/>
            <w:noWrap/>
            <w:vAlign w:val="center"/>
            <w:hideMark/>
          </w:tcPr>
          <w:p w:rsidR="0078258A" w:rsidRPr="0078258A" w:rsidRDefault="0078258A" w:rsidP="00CA3C5C">
            <w:pPr>
              <w:autoSpaceDE/>
              <w:autoSpaceDN/>
              <w:adjustRightInd/>
              <w:spacing w:after="0"/>
              <w:jc w:val="center"/>
              <w:rPr>
                <w:rFonts w:ascii="Calibri" w:eastAsia="Times New Roman" w:hAnsi="Calibri" w:cs="Times New Roman"/>
                <w:sz w:val="20"/>
                <w:szCs w:val="22"/>
                <w:lang w:eastAsia="en-GB"/>
              </w:rPr>
            </w:pPr>
            <w:r w:rsidRPr="0078258A">
              <w:rPr>
                <w:rFonts w:ascii="Calibri" w:eastAsia="Times New Roman" w:hAnsi="Calibri" w:cs="Times New Roman"/>
                <w:sz w:val="20"/>
                <w:szCs w:val="22"/>
                <w:lang w:eastAsia="en-GB"/>
              </w:rPr>
              <w:t>165</w:t>
            </w:r>
          </w:p>
        </w:tc>
      </w:tr>
    </w:tbl>
    <w:p w:rsidR="00D20769" w:rsidRPr="00CA3C5C" w:rsidRDefault="00D20769" w:rsidP="00D20769">
      <w:pPr>
        <w:spacing w:before="120" w:line="259" w:lineRule="auto"/>
        <w:rPr>
          <w:rFonts w:cs="Arial"/>
        </w:rPr>
      </w:pPr>
      <w:r w:rsidRPr="00CA3C5C">
        <w:rPr>
          <w:rFonts w:cs="Arial"/>
        </w:rPr>
        <w:t xml:space="preserve">The average number of days recorded in </w:t>
      </w:r>
      <w:r w:rsidR="00CA3C5C" w:rsidRPr="00CA3C5C">
        <w:rPr>
          <w:rFonts w:cs="Arial"/>
        </w:rPr>
        <w:t>Nov</w:t>
      </w:r>
      <w:r w:rsidRPr="00CA3C5C">
        <w:rPr>
          <w:rFonts w:cs="Arial"/>
        </w:rPr>
        <w:t xml:space="preserve">-17 by each provider parent gives a crude indication to the numbers recorded by each provider within those groups:   </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6"/>
        <w:gridCol w:w="854"/>
        <w:gridCol w:w="993"/>
        <w:gridCol w:w="993"/>
        <w:gridCol w:w="1077"/>
      </w:tblGrid>
      <w:tr w:rsidR="00CA3C5C" w:rsidRPr="00CA3C5C" w:rsidTr="00F47CEE">
        <w:trPr>
          <w:trHeight w:val="236"/>
        </w:trPr>
        <w:tc>
          <w:tcPr>
            <w:tcW w:w="2830" w:type="pct"/>
            <w:shd w:val="clear" w:color="4F81BD" w:fill="4F81BD"/>
            <w:noWrap/>
            <w:vAlign w:val="bottom"/>
            <w:hideMark/>
          </w:tcPr>
          <w:p w:rsidR="00CA3C5C" w:rsidRPr="00CA3C5C" w:rsidRDefault="00CA3C5C" w:rsidP="00CA3C5C">
            <w:pPr>
              <w:autoSpaceDE/>
              <w:autoSpaceDN/>
              <w:adjustRightInd/>
              <w:spacing w:after="0"/>
              <w:jc w:val="left"/>
              <w:rPr>
                <w:rFonts w:ascii="Calibri" w:eastAsia="Times New Roman" w:hAnsi="Calibri" w:cs="Times New Roman"/>
                <w:b/>
                <w:bCs/>
                <w:color w:val="FFFFFF"/>
                <w:sz w:val="20"/>
                <w:szCs w:val="22"/>
                <w:lang w:eastAsia="en-GB"/>
              </w:rPr>
            </w:pPr>
            <w:r w:rsidRPr="00CA3C5C">
              <w:rPr>
                <w:rFonts w:ascii="Calibri" w:eastAsia="Times New Roman" w:hAnsi="Calibri" w:cs="Times New Roman"/>
                <w:b/>
                <w:bCs/>
                <w:color w:val="FFFFFF"/>
                <w:sz w:val="20"/>
                <w:szCs w:val="22"/>
                <w:lang w:eastAsia="en-GB"/>
              </w:rPr>
              <w:t>Provider Parent Name</w:t>
            </w:r>
          </w:p>
        </w:tc>
        <w:tc>
          <w:tcPr>
            <w:tcW w:w="473" w:type="pct"/>
            <w:shd w:val="clear" w:color="4F81BD" w:fill="4F81BD"/>
            <w:noWrap/>
            <w:vAlign w:val="bottom"/>
            <w:hideMark/>
          </w:tcPr>
          <w:p w:rsidR="00CA3C5C" w:rsidRPr="00CA3C5C" w:rsidRDefault="00CA3C5C" w:rsidP="00CA3C5C">
            <w:pPr>
              <w:autoSpaceDE/>
              <w:autoSpaceDN/>
              <w:adjustRightInd/>
              <w:spacing w:after="0"/>
              <w:jc w:val="left"/>
              <w:rPr>
                <w:rFonts w:ascii="Calibri" w:eastAsia="Times New Roman" w:hAnsi="Calibri" w:cs="Times New Roman"/>
                <w:b/>
                <w:bCs/>
                <w:color w:val="FFFFFF"/>
                <w:sz w:val="20"/>
                <w:szCs w:val="22"/>
                <w:lang w:eastAsia="en-GB"/>
              </w:rPr>
            </w:pPr>
            <w:r w:rsidRPr="00CA3C5C">
              <w:rPr>
                <w:rFonts w:ascii="Calibri" w:eastAsia="Times New Roman" w:hAnsi="Calibri" w:cs="Times New Roman"/>
                <w:b/>
                <w:bCs/>
                <w:color w:val="FFFFFF"/>
                <w:sz w:val="20"/>
                <w:szCs w:val="22"/>
                <w:lang w:eastAsia="en-GB"/>
              </w:rPr>
              <w:t>Average of Sum of NHS Days</w:t>
            </w:r>
          </w:p>
        </w:tc>
        <w:tc>
          <w:tcPr>
            <w:tcW w:w="550" w:type="pct"/>
            <w:shd w:val="clear" w:color="4F81BD" w:fill="4F81BD"/>
            <w:noWrap/>
            <w:vAlign w:val="bottom"/>
            <w:hideMark/>
          </w:tcPr>
          <w:p w:rsidR="00CA3C5C" w:rsidRPr="00CA3C5C" w:rsidRDefault="00CA3C5C" w:rsidP="00CA3C5C">
            <w:pPr>
              <w:autoSpaceDE/>
              <w:autoSpaceDN/>
              <w:adjustRightInd/>
              <w:spacing w:after="0"/>
              <w:jc w:val="left"/>
              <w:rPr>
                <w:rFonts w:ascii="Calibri" w:eastAsia="Times New Roman" w:hAnsi="Calibri" w:cs="Times New Roman"/>
                <w:b/>
                <w:bCs/>
                <w:color w:val="FFFFFF"/>
                <w:sz w:val="20"/>
                <w:szCs w:val="22"/>
                <w:lang w:eastAsia="en-GB"/>
              </w:rPr>
            </w:pPr>
            <w:r w:rsidRPr="00CA3C5C">
              <w:rPr>
                <w:rFonts w:ascii="Calibri" w:eastAsia="Times New Roman" w:hAnsi="Calibri" w:cs="Times New Roman"/>
                <w:b/>
                <w:bCs/>
                <w:color w:val="FFFFFF"/>
                <w:sz w:val="20"/>
                <w:szCs w:val="22"/>
                <w:lang w:eastAsia="en-GB"/>
              </w:rPr>
              <w:t>Average of Sum of Social Care Days</w:t>
            </w:r>
          </w:p>
        </w:tc>
        <w:tc>
          <w:tcPr>
            <w:tcW w:w="550" w:type="pct"/>
            <w:shd w:val="clear" w:color="4F81BD" w:fill="4F81BD"/>
            <w:noWrap/>
            <w:vAlign w:val="bottom"/>
            <w:hideMark/>
          </w:tcPr>
          <w:p w:rsidR="00CA3C5C" w:rsidRPr="00CA3C5C" w:rsidRDefault="00CA3C5C" w:rsidP="00CA3C5C">
            <w:pPr>
              <w:autoSpaceDE/>
              <w:autoSpaceDN/>
              <w:adjustRightInd/>
              <w:spacing w:after="0"/>
              <w:jc w:val="left"/>
              <w:rPr>
                <w:rFonts w:ascii="Calibri" w:eastAsia="Times New Roman" w:hAnsi="Calibri" w:cs="Times New Roman"/>
                <w:b/>
                <w:bCs/>
                <w:color w:val="FFFFFF"/>
                <w:sz w:val="20"/>
                <w:szCs w:val="22"/>
                <w:lang w:eastAsia="en-GB"/>
              </w:rPr>
            </w:pPr>
            <w:r w:rsidRPr="00CA3C5C">
              <w:rPr>
                <w:rFonts w:ascii="Calibri" w:eastAsia="Times New Roman" w:hAnsi="Calibri" w:cs="Times New Roman"/>
                <w:b/>
                <w:bCs/>
                <w:color w:val="FFFFFF"/>
                <w:sz w:val="20"/>
                <w:szCs w:val="22"/>
                <w:lang w:eastAsia="en-GB"/>
              </w:rPr>
              <w:t>Average of Sum of NHS and Social Care Days</w:t>
            </w:r>
          </w:p>
        </w:tc>
        <w:tc>
          <w:tcPr>
            <w:tcW w:w="598" w:type="pct"/>
            <w:shd w:val="clear" w:color="4F81BD" w:fill="4F81BD"/>
            <w:noWrap/>
            <w:vAlign w:val="bottom"/>
            <w:hideMark/>
          </w:tcPr>
          <w:p w:rsidR="00CA3C5C" w:rsidRPr="00CA3C5C" w:rsidRDefault="00CA3C5C" w:rsidP="00CA3C5C">
            <w:pPr>
              <w:autoSpaceDE/>
              <w:autoSpaceDN/>
              <w:adjustRightInd/>
              <w:spacing w:after="0"/>
              <w:jc w:val="left"/>
              <w:rPr>
                <w:rFonts w:ascii="Calibri" w:eastAsia="Times New Roman" w:hAnsi="Calibri" w:cs="Times New Roman"/>
                <w:b/>
                <w:bCs/>
                <w:color w:val="FFFFFF"/>
                <w:sz w:val="20"/>
                <w:szCs w:val="22"/>
                <w:lang w:eastAsia="en-GB"/>
              </w:rPr>
            </w:pPr>
            <w:r w:rsidRPr="00CA3C5C">
              <w:rPr>
                <w:rFonts w:ascii="Calibri" w:eastAsia="Times New Roman" w:hAnsi="Calibri" w:cs="Times New Roman"/>
                <w:b/>
                <w:bCs/>
                <w:color w:val="FFFFFF"/>
                <w:sz w:val="20"/>
                <w:szCs w:val="22"/>
                <w:lang w:eastAsia="en-GB"/>
              </w:rPr>
              <w:t>Average of Sum of Total Days</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LONDON</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290.4</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173.5</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14.3</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478.2</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MIDLANDS AND EAST (CENTRAL MIDLANDS)</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486.5</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191.7</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101.6</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779.7</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MIDLANDS AND EAST (EAST)</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407.9</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192.0</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35.7</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635.5</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MIDLANDS AND EAST (NORTH MIDLANDS)</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459.8</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133.4</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28.9</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622.1</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MIDLANDS AND EAST (WEST MIDLANDS)</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330.6</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288.6</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70.3</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689.4</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NORTH (CHESHIRE AND MERSEYSIDE)</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369.5</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156.6</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19.2</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545.3</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NORTH (CUMBRIA AND NORTH EAST)</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349.8</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193.5</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74.3</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617.5</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NORTH (GREATER MANCHESTER)</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397.1</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427.0</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18.1</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842.2</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NORTH (LANCASHIRE)</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515.3</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535.5</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128.5</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1179.3</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NORTH (YORKSHIRE AND HUMBER)</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357.9</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166.8</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39.8</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564.5</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SOUTH (SOUTH CENTRAL)</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458.1</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257.4</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131.9</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847.4</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SOUTH (SOUTH EAST)</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523.5</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188.2</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48.1</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759.8</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SOUTH (SOUTH WEST)</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346.7</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300.4</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55.3</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702.4</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NHS ENGLAND SOUTH (WESSEX)</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629.7</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585.2</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87.6</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sz w:val="20"/>
                <w:szCs w:val="22"/>
                <w:lang w:eastAsia="en-GB"/>
              </w:rPr>
            </w:pPr>
            <w:r w:rsidRPr="00CA3C5C">
              <w:rPr>
                <w:rFonts w:ascii="Calibri" w:eastAsia="Times New Roman" w:hAnsi="Calibri" w:cs="Times New Roman"/>
                <w:sz w:val="20"/>
                <w:szCs w:val="22"/>
                <w:lang w:eastAsia="en-GB"/>
              </w:rPr>
              <w:t>1302.5</w:t>
            </w:r>
          </w:p>
        </w:tc>
      </w:tr>
      <w:tr w:rsidR="00CA3C5C" w:rsidRPr="00CA3C5C" w:rsidTr="00F47CEE">
        <w:trPr>
          <w:trHeight w:val="227"/>
        </w:trPr>
        <w:tc>
          <w:tcPr>
            <w:tcW w:w="2830" w:type="pct"/>
            <w:shd w:val="clear" w:color="auto" w:fill="auto"/>
            <w:noWrap/>
            <w:vAlign w:val="bottom"/>
            <w:hideMark/>
          </w:tcPr>
          <w:p w:rsidR="00CA3C5C" w:rsidRPr="00CA3C5C" w:rsidRDefault="00CA3C5C" w:rsidP="00CA3C5C">
            <w:pPr>
              <w:autoSpaceDE/>
              <w:autoSpaceDN/>
              <w:adjustRightInd/>
              <w:spacing w:after="0"/>
              <w:jc w:val="left"/>
              <w:rPr>
                <w:rFonts w:ascii="Calibri" w:eastAsia="Times New Roman" w:hAnsi="Calibri" w:cs="Times New Roman"/>
                <w:b/>
                <w:bCs/>
                <w:sz w:val="20"/>
                <w:szCs w:val="22"/>
                <w:lang w:eastAsia="en-GB"/>
              </w:rPr>
            </w:pPr>
            <w:r w:rsidRPr="00CA3C5C">
              <w:rPr>
                <w:rFonts w:ascii="Calibri" w:eastAsia="Times New Roman" w:hAnsi="Calibri" w:cs="Times New Roman"/>
                <w:b/>
                <w:bCs/>
                <w:sz w:val="20"/>
                <w:szCs w:val="22"/>
                <w:lang w:eastAsia="en-GB"/>
              </w:rPr>
              <w:t>Grand Total</w:t>
            </w:r>
          </w:p>
        </w:tc>
        <w:tc>
          <w:tcPr>
            <w:tcW w:w="473"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b/>
                <w:bCs/>
                <w:sz w:val="20"/>
                <w:szCs w:val="22"/>
                <w:lang w:eastAsia="en-GB"/>
              </w:rPr>
            </w:pPr>
            <w:r w:rsidRPr="00CA3C5C">
              <w:rPr>
                <w:rFonts w:ascii="Calibri" w:eastAsia="Times New Roman" w:hAnsi="Calibri" w:cs="Times New Roman"/>
                <w:b/>
                <w:bCs/>
                <w:sz w:val="20"/>
                <w:szCs w:val="22"/>
                <w:lang w:eastAsia="en-GB"/>
              </w:rPr>
              <w:t>400.3</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b/>
                <w:bCs/>
                <w:sz w:val="20"/>
                <w:szCs w:val="22"/>
                <w:lang w:eastAsia="en-GB"/>
              </w:rPr>
            </w:pPr>
            <w:r w:rsidRPr="00CA3C5C">
              <w:rPr>
                <w:rFonts w:ascii="Calibri" w:eastAsia="Times New Roman" w:hAnsi="Calibri" w:cs="Times New Roman"/>
                <w:b/>
                <w:bCs/>
                <w:sz w:val="20"/>
                <w:szCs w:val="22"/>
                <w:lang w:eastAsia="en-GB"/>
              </w:rPr>
              <w:t>233.6</w:t>
            </w:r>
          </w:p>
        </w:tc>
        <w:tc>
          <w:tcPr>
            <w:tcW w:w="550"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b/>
                <w:bCs/>
                <w:sz w:val="20"/>
                <w:szCs w:val="22"/>
                <w:lang w:eastAsia="en-GB"/>
              </w:rPr>
            </w:pPr>
            <w:r w:rsidRPr="00CA3C5C">
              <w:rPr>
                <w:rFonts w:ascii="Calibri" w:eastAsia="Times New Roman" w:hAnsi="Calibri" w:cs="Times New Roman"/>
                <w:b/>
                <w:bCs/>
                <w:sz w:val="20"/>
                <w:szCs w:val="22"/>
                <w:lang w:eastAsia="en-GB"/>
              </w:rPr>
              <w:t>52.2</w:t>
            </w:r>
          </w:p>
        </w:tc>
        <w:tc>
          <w:tcPr>
            <w:tcW w:w="598" w:type="pct"/>
            <w:shd w:val="clear" w:color="auto" w:fill="auto"/>
            <w:noWrap/>
            <w:vAlign w:val="bottom"/>
            <w:hideMark/>
          </w:tcPr>
          <w:p w:rsidR="00CA3C5C" w:rsidRPr="00CA3C5C" w:rsidRDefault="00CA3C5C" w:rsidP="00CA3C5C">
            <w:pPr>
              <w:autoSpaceDE/>
              <w:autoSpaceDN/>
              <w:adjustRightInd/>
              <w:spacing w:after="0"/>
              <w:jc w:val="right"/>
              <w:rPr>
                <w:rFonts w:ascii="Calibri" w:eastAsia="Times New Roman" w:hAnsi="Calibri" w:cs="Times New Roman"/>
                <w:b/>
                <w:bCs/>
                <w:sz w:val="20"/>
                <w:szCs w:val="22"/>
                <w:lang w:eastAsia="en-GB"/>
              </w:rPr>
            </w:pPr>
            <w:r w:rsidRPr="00CA3C5C">
              <w:rPr>
                <w:rFonts w:ascii="Calibri" w:eastAsia="Times New Roman" w:hAnsi="Calibri" w:cs="Times New Roman"/>
                <w:b/>
                <w:bCs/>
                <w:sz w:val="20"/>
                <w:szCs w:val="22"/>
                <w:lang w:eastAsia="en-GB"/>
              </w:rPr>
              <w:t>686.1</w:t>
            </w:r>
          </w:p>
        </w:tc>
      </w:tr>
    </w:tbl>
    <w:p w:rsidR="00CA3C5C" w:rsidRPr="00CA3C5C" w:rsidRDefault="00CA3C5C" w:rsidP="00D20769">
      <w:pPr>
        <w:spacing w:before="120" w:line="259" w:lineRule="auto"/>
        <w:rPr>
          <w:rFonts w:cs="Arial"/>
        </w:rPr>
      </w:pPr>
    </w:p>
    <w:p w:rsidR="00D20769" w:rsidRPr="00E64195" w:rsidRDefault="00D20769" w:rsidP="00D20769">
      <w:pPr>
        <w:spacing w:before="120" w:line="259" w:lineRule="auto"/>
        <w:rPr>
          <w:rFonts w:cs="Arial"/>
        </w:rPr>
      </w:pPr>
      <w:r w:rsidRPr="00CA3C5C">
        <w:rPr>
          <w:rFonts w:cs="Arial"/>
        </w:rPr>
        <w:t>Within the provider parent organisation of NHS ENGLAND NORTH (LANCASHIRE), three of the four providers recorded numbers of delayed</w:t>
      </w:r>
      <w:r w:rsidRPr="00E64195">
        <w:rPr>
          <w:rFonts w:cs="Arial"/>
        </w:rPr>
        <w:t xml:space="preserve"> days attributable to social care well below the parent provider average of </w:t>
      </w:r>
      <w:r w:rsidR="00565C56" w:rsidRPr="00E64195">
        <w:rPr>
          <w:rFonts w:cs="Arial"/>
        </w:rPr>
        <w:t>535</w:t>
      </w:r>
      <w:r w:rsidRPr="00E64195">
        <w:rPr>
          <w:rFonts w:cs="Arial"/>
        </w:rPr>
        <w:t xml:space="preserve">.5: </w:t>
      </w:r>
    </w:p>
    <w:p w:rsidR="00565C56" w:rsidRPr="00E64195" w:rsidRDefault="00565C56" w:rsidP="00D20769">
      <w:pPr>
        <w:spacing w:before="120" w:line="259" w:lineRule="auto"/>
        <w:rPr>
          <w:rFonts w:cs="Arial"/>
        </w:rPr>
      </w:pPr>
      <w:r w:rsidRPr="00E64195">
        <w:rPr>
          <w:noProof/>
          <w:lang w:eastAsia="en-GB"/>
        </w:rPr>
        <w:drawing>
          <wp:inline distT="0" distB="0" distL="0" distR="0" wp14:anchorId="0A96FFFE" wp14:editId="43C7B6E6">
            <wp:extent cx="5727700" cy="3143250"/>
            <wp:effectExtent l="0" t="0" r="635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20769" w:rsidRPr="00E64195" w:rsidRDefault="00D20769" w:rsidP="00D20769">
      <w:pPr>
        <w:spacing w:after="160" w:line="259" w:lineRule="auto"/>
        <w:rPr>
          <w:rFonts w:cs="Arial"/>
        </w:rPr>
      </w:pPr>
      <w:r w:rsidRPr="00E64195">
        <w:rPr>
          <w:rFonts w:cs="Arial"/>
        </w:rPr>
        <w:t>The 20 providers recording the highest numbers of delayed days attributable to social care are shown in the chart below. All exceed the average for their parent provider group. Lancashire Teaching Hospitals NHS Trust (ranked 22</w:t>
      </w:r>
      <w:r w:rsidR="00E64195" w:rsidRPr="00E64195">
        <w:rPr>
          <w:rFonts w:cs="Arial"/>
        </w:rPr>
        <w:t>3</w:t>
      </w:r>
      <w:r w:rsidRPr="00E64195">
        <w:rPr>
          <w:rFonts w:cs="Arial"/>
        </w:rPr>
        <w:t>) is one of several providers to have recorded over twice the parent provider group average.</w:t>
      </w:r>
    </w:p>
    <w:p w:rsidR="00E64195" w:rsidRPr="00E64195" w:rsidRDefault="00E64195" w:rsidP="00D20769">
      <w:pPr>
        <w:spacing w:after="160" w:line="259" w:lineRule="auto"/>
        <w:rPr>
          <w:rFonts w:cs="Arial"/>
        </w:rPr>
      </w:pPr>
      <w:r w:rsidRPr="00E64195">
        <w:rPr>
          <w:noProof/>
          <w:lang w:eastAsia="en-GB"/>
        </w:rPr>
        <w:drawing>
          <wp:inline distT="0" distB="0" distL="0" distR="0" wp14:anchorId="77906BF7" wp14:editId="56EB3AA1">
            <wp:extent cx="5727700" cy="4095750"/>
            <wp:effectExtent l="0" t="0" r="635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20769" w:rsidRPr="00E64195" w:rsidRDefault="00D20769" w:rsidP="00034822">
      <w:pPr>
        <w:pStyle w:val="Heading1"/>
      </w:pPr>
      <w:bookmarkStart w:id="14" w:name="_Toc503454141"/>
      <w:r w:rsidRPr="00E64195">
        <w:t>Reason for Delay</w:t>
      </w:r>
      <w:bookmarkEnd w:id="14"/>
    </w:p>
    <w:p w:rsidR="00D20769" w:rsidRPr="00E64195" w:rsidRDefault="002D42D8" w:rsidP="0069758B">
      <w:pPr>
        <w:spacing w:line="259" w:lineRule="auto"/>
        <w:rPr>
          <w:rFonts w:cs="Arial"/>
        </w:rPr>
      </w:pPr>
      <w:r w:rsidRPr="00E64195">
        <w:rPr>
          <w:rFonts w:cs="Arial"/>
        </w:rPr>
        <w:t>I</w:t>
      </w:r>
      <w:r w:rsidR="00D20769" w:rsidRPr="00E64195">
        <w:rPr>
          <w:rFonts w:cs="Arial"/>
        </w:rPr>
        <w:t xml:space="preserve">n </w:t>
      </w:r>
      <w:r w:rsidRPr="00E64195">
        <w:rPr>
          <w:rFonts w:cs="Arial"/>
        </w:rPr>
        <w:t>Nov</w:t>
      </w:r>
      <w:r w:rsidR="00D20769" w:rsidRPr="00E64195">
        <w:rPr>
          <w:rFonts w:cs="Arial"/>
        </w:rPr>
        <w:t xml:space="preserve">-17 </w:t>
      </w:r>
      <w:r w:rsidRPr="00E64195">
        <w:rPr>
          <w:rFonts w:cs="Arial"/>
        </w:rPr>
        <w:t>the primary reason for delays was</w:t>
      </w:r>
      <w:r w:rsidR="00D20769" w:rsidRPr="00E64195">
        <w:rPr>
          <w:rFonts w:cs="Arial"/>
        </w:rPr>
        <w:t xml:space="preserve"> assessment completion once again</w:t>
      </w:r>
      <w:r w:rsidR="0037559D" w:rsidRPr="00E64195">
        <w:rPr>
          <w:rFonts w:cs="Arial"/>
        </w:rPr>
        <w:t xml:space="preserve"> and shows an overall increase from 1028 in Oct-17 to 1363 in Nov-17</w:t>
      </w:r>
      <w:r w:rsidR="00D20769" w:rsidRPr="00E64195">
        <w:rPr>
          <w:rFonts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9"/>
        <w:gridCol w:w="1561"/>
        <w:gridCol w:w="1701"/>
        <w:gridCol w:w="1701"/>
        <w:gridCol w:w="1218"/>
      </w:tblGrid>
      <w:tr w:rsidR="004B3545" w:rsidRPr="00E64195" w:rsidTr="004B3545">
        <w:trPr>
          <w:trHeight w:val="20"/>
        </w:trPr>
        <w:tc>
          <w:tcPr>
            <w:tcW w:w="1570" w:type="pct"/>
            <w:shd w:val="clear" w:color="4F81BD" w:fill="4F81BD"/>
            <w:noWrap/>
            <w:vAlign w:val="bottom"/>
            <w:hideMark/>
          </w:tcPr>
          <w:p w:rsidR="004B3545" w:rsidRPr="00E64195" w:rsidRDefault="004B3545" w:rsidP="004B3545">
            <w:pPr>
              <w:spacing w:after="0"/>
              <w:rPr>
                <w:rFonts w:ascii="Calibri" w:eastAsia="Times New Roman" w:hAnsi="Calibri" w:cs="Times New Roman"/>
                <w:b/>
                <w:bCs/>
                <w:color w:val="FFFFFF"/>
                <w:sz w:val="20"/>
                <w:szCs w:val="18"/>
                <w:lang w:eastAsia="en-GB"/>
              </w:rPr>
            </w:pPr>
            <w:r w:rsidRPr="00E64195">
              <w:rPr>
                <w:rFonts w:ascii="Calibri" w:eastAsia="Times New Roman" w:hAnsi="Calibri" w:cs="Times New Roman"/>
                <w:b/>
                <w:bCs/>
                <w:color w:val="FFFFFF"/>
                <w:sz w:val="20"/>
                <w:szCs w:val="18"/>
                <w:lang w:eastAsia="en-GB"/>
              </w:rPr>
              <w:t>Reason for delay – Lancashire</w:t>
            </w:r>
          </w:p>
          <w:p w:rsidR="004B3545" w:rsidRPr="00E64195" w:rsidRDefault="004B3545" w:rsidP="002D42D8">
            <w:pPr>
              <w:autoSpaceDE/>
              <w:autoSpaceDN/>
              <w:adjustRightInd/>
              <w:spacing w:after="0"/>
              <w:jc w:val="left"/>
              <w:rPr>
                <w:rFonts w:ascii="Calibri" w:eastAsia="Times New Roman" w:hAnsi="Calibri" w:cs="Times New Roman"/>
                <w:b/>
                <w:bCs/>
                <w:color w:val="FFFFFF"/>
                <w:sz w:val="18"/>
                <w:szCs w:val="18"/>
                <w:lang w:eastAsia="en-GB"/>
              </w:rPr>
            </w:pPr>
            <w:r w:rsidRPr="00E64195">
              <w:rPr>
                <w:rFonts w:ascii="Calibri" w:eastAsia="Times New Roman" w:hAnsi="Calibri" w:cs="Times New Roman"/>
                <w:b/>
                <w:bCs/>
                <w:color w:val="FFFFFF"/>
                <w:sz w:val="20"/>
                <w:szCs w:val="18"/>
                <w:lang w:eastAsia="en-GB"/>
              </w:rPr>
              <w:t>(</w:t>
            </w:r>
            <w:r w:rsidR="002D42D8" w:rsidRPr="00E64195">
              <w:rPr>
                <w:rFonts w:ascii="Calibri" w:eastAsia="Times New Roman" w:hAnsi="Calibri" w:cs="Times New Roman"/>
                <w:b/>
                <w:bCs/>
                <w:color w:val="FFFFFF"/>
                <w:sz w:val="20"/>
                <w:szCs w:val="18"/>
                <w:lang w:eastAsia="en-GB"/>
              </w:rPr>
              <w:t>Aug</w:t>
            </w:r>
            <w:r w:rsidRPr="00E64195">
              <w:rPr>
                <w:rFonts w:ascii="Calibri" w:eastAsia="Times New Roman" w:hAnsi="Calibri" w:cs="Times New Roman"/>
                <w:b/>
                <w:bCs/>
                <w:color w:val="FFFFFF"/>
                <w:sz w:val="20"/>
                <w:szCs w:val="18"/>
                <w:lang w:eastAsia="en-GB"/>
              </w:rPr>
              <w:t xml:space="preserve">-17 to </w:t>
            </w:r>
            <w:r w:rsidR="002D42D8" w:rsidRPr="00E64195">
              <w:rPr>
                <w:rFonts w:ascii="Calibri" w:eastAsia="Times New Roman" w:hAnsi="Calibri" w:cs="Times New Roman"/>
                <w:b/>
                <w:bCs/>
                <w:color w:val="FFFFFF"/>
                <w:sz w:val="20"/>
                <w:szCs w:val="18"/>
                <w:lang w:eastAsia="en-GB"/>
              </w:rPr>
              <w:t>Nov</w:t>
            </w:r>
            <w:r w:rsidRPr="00E64195">
              <w:rPr>
                <w:rFonts w:ascii="Calibri" w:eastAsia="Times New Roman" w:hAnsi="Calibri" w:cs="Times New Roman"/>
                <w:b/>
                <w:bCs/>
                <w:color w:val="FFFFFF"/>
                <w:sz w:val="20"/>
                <w:szCs w:val="18"/>
                <w:lang w:eastAsia="en-GB"/>
              </w:rPr>
              <w:t>-17)</w:t>
            </w:r>
          </w:p>
        </w:tc>
        <w:tc>
          <w:tcPr>
            <w:tcW w:w="866" w:type="pct"/>
            <w:shd w:val="clear" w:color="4F81BD" w:fill="4F81BD"/>
            <w:noWrap/>
            <w:vAlign w:val="bottom"/>
            <w:hideMark/>
          </w:tcPr>
          <w:p w:rsidR="004B3545" w:rsidRPr="00E64195" w:rsidRDefault="004B3545" w:rsidP="004B3545">
            <w:pPr>
              <w:autoSpaceDE/>
              <w:autoSpaceDN/>
              <w:adjustRightInd/>
              <w:spacing w:after="0"/>
              <w:jc w:val="left"/>
              <w:rPr>
                <w:rFonts w:ascii="Calibri" w:eastAsia="Times New Roman" w:hAnsi="Calibri" w:cs="Times New Roman"/>
                <w:b/>
                <w:bCs/>
                <w:color w:val="FFFFFF"/>
                <w:sz w:val="18"/>
                <w:szCs w:val="18"/>
                <w:lang w:eastAsia="en-GB"/>
              </w:rPr>
            </w:pPr>
            <w:r w:rsidRPr="00E64195">
              <w:rPr>
                <w:rFonts w:ascii="Calibri" w:eastAsia="Times New Roman" w:hAnsi="Calibri" w:cs="Times New Roman"/>
                <w:b/>
                <w:bCs/>
                <w:color w:val="FFFFFF"/>
                <w:sz w:val="18"/>
                <w:szCs w:val="18"/>
                <w:lang w:eastAsia="en-GB"/>
              </w:rPr>
              <w:t>Sum of NHS Days</w:t>
            </w:r>
          </w:p>
        </w:tc>
        <w:tc>
          <w:tcPr>
            <w:tcW w:w="944" w:type="pct"/>
            <w:shd w:val="clear" w:color="4F81BD" w:fill="4F81BD"/>
            <w:noWrap/>
            <w:vAlign w:val="bottom"/>
            <w:hideMark/>
          </w:tcPr>
          <w:p w:rsidR="004B3545" w:rsidRPr="00E64195" w:rsidRDefault="004B3545" w:rsidP="004B3545">
            <w:pPr>
              <w:autoSpaceDE/>
              <w:autoSpaceDN/>
              <w:adjustRightInd/>
              <w:spacing w:after="0"/>
              <w:jc w:val="left"/>
              <w:rPr>
                <w:rFonts w:ascii="Calibri" w:eastAsia="Times New Roman" w:hAnsi="Calibri" w:cs="Times New Roman"/>
                <w:b/>
                <w:bCs/>
                <w:color w:val="FFFFFF"/>
                <w:sz w:val="18"/>
                <w:szCs w:val="18"/>
                <w:lang w:eastAsia="en-GB"/>
              </w:rPr>
            </w:pPr>
            <w:r w:rsidRPr="00E64195">
              <w:rPr>
                <w:rFonts w:ascii="Calibri" w:eastAsia="Times New Roman" w:hAnsi="Calibri" w:cs="Times New Roman"/>
                <w:b/>
                <w:bCs/>
                <w:color w:val="FFFFFF"/>
                <w:sz w:val="18"/>
                <w:szCs w:val="18"/>
                <w:lang w:eastAsia="en-GB"/>
              </w:rPr>
              <w:t>Sum of Social Care Days</w:t>
            </w:r>
          </w:p>
        </w:tc>
        <w:tc>
          <w:tcPr>
            <w:tcW w:w="944" w:type="pct"/>
            <w:shd w:val="clear" w:color="4F81BD" w:fill="4F81BD"/>
            <w:noWrap/>
            <w:vAlign w:val="bottom"/>
            <w:hideMark/>
          </w:tcPr>
          <w:p w:rsidR="004B3545" w:rsidRPr="00E64195" w:rsidRDefault="004B3545" w:rsidP="004B3545">
            <w:pPr>
              <w:autoSpaceDE/>
              <w:autoSpaceDN/>
              <w:adjustRightInd/>
              <w:spacing w:after="0"/>
              <w:jc w:val="left"/>
              <w:rPr>
                <w:rFonts w:ascii="Calibri" w:eastAsia="Times New Roman" w:hAnsi="Calibri" w:cs="Times New Roman"/>
                <w:b/>
                <w:bCs/>
                <w:color w:val="FFFFFF"/>
                <w:sz w:val="18"/>
                <w:szCs w:val="18"/>
                <w:lang w:eastAsia="en-GB"/>
              </w:rPr>
            </w:pPr>
            <w:r w:rsidRPr="00E64195">
              <w:rPr>
                <w:rFonts w:ascii="Calibri" w:eastAsia="Times New Roman" w:hAnsi="Calibri" w:cs="Times New Roman"/>
                <w:b/>
                <w:bCs/>
                <w:color w:val="FFFFFF"/>
                <w:sz w:val="18"/>
                <w:szCs w:val="18"/>
                <w:lang w:eastAsia="en-GB"/>
              </w:rPr>
              <w:t>Sum of NHS and Social Care Days</w:t>
            </w:r>
          </w:p>
        </w:tc>
        <w:tc>
          <w:tcPr>
            <w:tcW w:w="676" w:type="pct"/>
            <w:shd w:val="clear" w:color="4F81BD" w:fill="4F81BD"/>
            <w:noWrap/>
            <w:vAlign w:val="bottom"/>
            <w:hideMark/>
          </w:tcPr>
          <w:p w:rsidR="004B3545" w:rsidRPr="00E64195" w:rsidRDefault="004B3545" w:rsidP="004B3545">
            <w:pPr>
              <w:autoSpaceDE/>
              <w:autoSpaceDN/>
              <w:adjustRightInd/>
              <w:spacing w:after="0"/>
              <w:jc w:val="left"/>
              <w:rPr>
                <w:rFonts w:ascii="Calibri" w:eastAsia="Times New Roman" w:hAnsi="Calibri" w:cs="Times New Roman"/>
                <w:b/>
                <w:bCs/>
                <w:color w:val="FFFFFF"/>
                <w:sz w:val="18"/>
                <w:szCs w:val="18"/>
                <w:lang w:eastAsia="en-GB"/>
              </w:rPr>
            </w:pPr>
            <w:r w:rsidRPr="00E64195">
              <w:rPr>
                <w:rFonts w:ascii="Calibri" w:eastAsia="Times New Roman" w:hAnsi="Calibri" w:cs="Times New Roman"/>
                <w:b/>
                <w:bCs/>
                <w:color w:val="FFFFFF"/>
                <w:sz w:val="18"/>
                <w:szCs w:val="18"/>
                <w:lang w:eastAsia="en-GB"/>
              </w:rPr>
              <w:t>Sum of Total Days</w:t>
            </w:r>
          </w:p>
        </w:tc>
      </w:tr>
      <w:tr w:rsidR="004B3545" w:rsidRPr="00E64195" w:rsidTr="004B3545">
        <w:trPr>
          <w:trHeight w:val="20"/>
        </w:trPr>
        <w:tc>
          <w:tcPr>
            <w:tcW w:w="1570" w:type="pct"/>
            <w:shd w:val="clear" w:color="DCE6F1" w:fill="DCE6F1"/>
            <w:noWrap/>
            <w:vAlign w:val="bottom"/>
            <w:hideMark/>
          </w:tcPr>
          <w:p w:rsidR="004B3545" w:rsidRPr="00E64195" w:rsidRDefault="004B3545" w:rsidP="004B3545">
            <w:pPr>
              <w:autoSpaceDE/>
              <w:autoSpaceDN/>
              <w:adjustRightInd/>
              <w:spacing w:after="0"/>
              <w:jc w:val="left"/>
              <w:rPr>
                <w:rFonts w:ascii="Calibri" w:eastAsia="Times New Roman" w:hAnsi="Calibri" w:cs="Times New Roman"/>
                <w:b/>
                <w:bCs/>
                <w:sz w:val="18"/>
                <w:szCs w:val="18"/>
                <w:lang w:eastAsia="en-GB"/>
              </w:rPr>
            </w:pPr>
            <w:r w:rsidRPr="00E64195">
              <w:rPr>
                <w:rFonts w:ascii="Calibri" w:eastAsia="Times New Roman" w:hAnsi="Calibri" w:cs="Times New Roman"/>
                <w:b/>
                <w:bCs/>
                <w:sz w:val="18"/>
                <w:szCs w:val="18"/>
                <w:lang w:eastAsia="en-GB"/>
              </w:rPr>
              <w:t>A_COMPLETION_ASSESSMENT</w:t>
            </w:r>
          </w:p>
        </w:tc>
        <w:tc>
          <w:tcPr>
            <w:tcW w:w="866" w:type="pct"/>
            <w:shd w:val="clear" w:color="DCE6F1" w:fill="DCE6F1"/>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b/>
                <w:bCs/>
                <w:sz w:val="18"/>
                <w:szCs w:val="18"/>
                <w:lang w:eastAsia="en-GB"/>
              </w:rPr>
            </w:pPr>
            <w:r w:rsidRPr="00E64195">
              <w:rPr>
                <w:rFonts w:ascii="Calibri" w:eastAsia="Times New Roman" w:hAnsi="Calibri" w:cs="Times New Roman"/>
                <w:b/>
                <w:bCs/>
                <w:sz w:val="18"/>
                <w:szCs w:val="18"/>
                <w:lang w:eastAsia="en-GB"/>
              </w:rPr>
              <w:t>1934</w:t>
            </w:r>
          </w:p>
        </w:tc>
        <w:tc>
          <w:tcPr>
            <w:tcW w:w="944" w:type="pct"/>
            <w:shd w:val="clear" w:color="DCE6F1" w:fill="DCE6F1"/>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b/>
                <w:bCs/>
                <w:sz w:val="18"/>
                <w:szCs w:val="18"/>
                <w:lang w:eastAsia="en-GB"/>
              </w:rPr>
            </w:pPr>
            <w:r w:rsidRPr="00E64195">
              <w:rPr>
                <w:rFonts w:ascii="Calibri" w:eastAsia="Times New Roman" w:hAnsi="Calibri" w:cs="Times New Roman"/>
                <w:b/>
                <w:bCs/>
                <w:sz w:val="18"/>
                <w:szCs w:val="18"/>
                <w:lang w:eastAsia="en-GB"/>
              </w:rPr>
              <w:t>2371</w:t>
            </w:r>
          </w:p>
        </w:tc>
        <w:tc>
          <w:tcPr>
            <w:tcW w:w="944" w:type="pct"/>
            <w:shd w:val="clear" w:color="DCE6F1" w:fill="DCE6F1"/>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b/>
                <w:bCs/>
                <w:sz w:val="18"/>
                <w:szCs w:val="18"/>
                <w:lang w:eastAsia="en-GB"/>
              </w:rPr>
            </w:pPr>
            <w:r w:rsidRPr="00E64195">
              <w:rPr>
                <w:rFonts w:ascii="Calibri" w:eastAsia="Times New Roman" w:hAnsi="Calibri" w:cs="Times New Roman"/>
                <w:b/>
                <w:bCs/>
                <w:sz w:val="18"/>
                <w:szCs w:val="18"/>
                <w:lang w:eastAsia="en-GB"/>
              </w:rPr>
              <w:t>488</w:t>
            </w:r>
          </w:p>
        </w:tc>
        <w:tc>
          <w:tcPr>
            <w:tcW w:w="676" w:type="pct"/>
            <w:shd w:val="clear" w:color="DCE6F1" w:fill="DCE6F1"/>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b/>
                <w:bCs/>
                <w:sz w:val="18"/>
                <w:szCs w:val="18"/>
                <w:lang w:eastAsia="en-GB"/>
              </w:rPr>
            </w:pPr>
            <w:r w:rsidRPr="00E64195">
              <w:rPr>
                <w:rFonts w:ascii="Calibri" w:eastAsia="Times New Roman" w:hAnsi="Calibri" w:cs="Times New Roman"/>
                <w:b/>
                <w:bCs/>
                <w:sz w:val="18"/>
                <w:szCs w:val="18"/>
                <w:lang w:eastAsia="en-GB"/>
              </w:rPr>
              <w:t>4793</w:t>
            </w:r>
          </w:p>
        </w:tc>
      </w:tr>
      <w:tr w:rsidR="004B3545" w:rsidRPr="00E64195" w:rsidTr="004B3545">
        <w:trPr>
          <w:trHeight w:val="20"/>
        </w:trPr>
        <w:tc>
          <w:tcPr>
            <w:tcW w:w="1570" w:type="pct"/>
            <w:shd w:val="clear" w:color="auto" w:fill="auto"/>
            <w:noWrap/>
            <w:vAlign w:val="bottom"/>
            <w:hideMark/>
          </w:tcPr>
          <w:p w:rsidR="004B3545" w:rsidRPr="00E6419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AUGUST</w:t>
            </w:r>
          </w:p>
        </w:tc>
        <w:tc>
          <w:tcPr>
            <w:tcW w:w="86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419</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752</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43</w:t>
            </w:r>
          </w:p>
        </w:tc>
        <w:tc>
          <w:tcPr>
            <w:tcW w:w="67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1214</w:t>
            </w:r>
          </w:p>
        </w:tc>
      </w:tr>
      <w:tr w:rsidR="004B3545" w:rsidRPr="00E64195" w:rsidTr="004B3545">
        <w:trPr>
          <w:trHeight w:val="20"/>
        </w:trPr>
        <w:tc>
          <w:tcPr>
            <w:tcW w:w="1570" w:type="pct"/>
            <w:shd w:val="clear" w:color="auto" w:fill="auto"/>
            <w:noWrap/>
            <w:vAlign w:val="bottom"/>
            <w:hideMark/>
          </w:tcPr>
          <w:p w:rsidR="004B3545" w:rsidRPr="00E6419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SEPTEMBER</w:t>
            </w:r>
          </w:p>
        </w:tc>
        <w:tc>
          <w:tcPr>
            <w:tcW w:w="86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487</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583</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118</w:t>
            </w:r>
          </w:p>
        </w:tc>
        <w:tc>
          <w:tcPr>
            <w:tcW w:w="67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1188</w:t>
            </w:r>
          </w:p>
        </w:tc>
      </w:tr>
      <w:tr w:rsidR="004B3545" w:rsidRPr="00E64195" w:rsidTr="004B3545">
        <w:trPr>
          <w:trHeight w:val="20"/>
        </w:trPr>
        <w:tc>
          <w:tcPr>
            <w:tcW w:w="1570" w:type="pct"/>
            <w:shd w:val="clear" w:color="auto" w:fill="auto"/>
            <w:noWrap/>
            <w:vAlign w:val="bottom"/>
            <w:hideMark/>
          </w:tcPr>
          <w:p w:rsidR="004B3545" w:rsidRPr="00E6419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OCTOBER</w:t>
            </w:r>
          </w:p>
        </w:tc>
        <w:tc>
          <w:tcPr>
            <w:tcW w:w="86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523</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404</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101</w:t>
            </w:r>
          </w:p>
        </w:tc>
        <w:tc>
          <w:tcPr>
            <w:tcW w:w="67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1028</w:t>
            </w:r>
          </w:p>
        </w:tc>
      </w:tr>
      <w:tr w:rsidR="004B3545" w:rsidRPr="00E64195" w:rsidTr="004B3545">
        <w:trPr>
          <w:trHeight w:val="20"/>
        </w:trPr>
        <w:tc>
          <w:tcPr>
            <w:tcW w:w="1570" w:type="pct"/>
            <w:shd w:val="clear" w:color="auto" w:fill="auto"/>
            <w:noWrap/>
            <w:vAlign w:val="bottom"/>
            <w:hideMark/>
          </w:tcPr>
          <w:p w:rsidR="004B3545" w:rsidRPr="00E6419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NOVEMBER</w:t>
            </w:r>
          </w:p>
        </w:tc>
        <w:tc>
          <w:tcPr>
            <w:tcW w:w="86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505</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632</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226</w:t>
            </w:r>
          </w:p>
        </w:tc>
        <w:tc>
          <w:tcPr>
            <w:tcW w:w="67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1363</w:t>
            </w:r>
          </w:p>
        </w:tc>
      </w:tr>
      <w:tr w:rsidR="004B3545" w:rsidRPr="00E64195" w:rsidTr="004B3545">
        <w:trPr>
          <w:trHeight w:val="20"/>
        </w:trPr>
        <w:tc>
          <w:tcPr>
            <w:tcW w:w="1570" w:type="pct"/>
            <w:shd w:val="clear" w:color="DCE6F1" w:fill="DCE6F1"/>
            <w:noWrap/>
            <w:vAlign w:val="bottom"/>
            <w:hideMark/>
          </w:tcPr>
          <w:p w:rsidR="004B3545" w:rsidRPr="00E64195" w:rsidRDefault="004B3545" w:rsidP="004B3545">
            <w:pPr>
              <w:autoSpaceDE/>
              <w:autoSpaceDN/>
              <w:adjustRightInd/>
              <w:spacing w:after="0"/>
              <w:jc w:val="left"/>
              <w:rPr>
                <w:rFonts w:ascii="Calibri" w:eastAsia="Times New Roman" w:hAnsi="Calibri" w:cs="Times New Roman"/>
                <w:b/>
                <w:bCs/>
                <w:sz w:val="18"/>
                <w:szCs w:val="18"/>
                <w:lang w:eastAsia="en-GB"/>
              </w:rPr>
            </w:pPr>
            <w:r w:rsidRPr="00E64195">
              <w:rPr>
                <w:rFonts w:ascii="Calibri" w:eastAsia="Times New Roman" w:hAnsi="Calibri" w:cs="Times New Roman"/>
                <w:b/>
                <w:bCs/>
                <w:sz w:val="18"/>
                <w:szCs w:val="18"/>
                <w:lang w:eastAsia="en-GB"/>
              </w:rPr>
              <w:t>B_PUBLIC_FUNDING</w:t>
            </w:r>
          </w:p>
        </w:tc>
        <w:tc>
          <w:tcPr>
            <w:tcW w:w="866" w:type="pct"/>
            <w:shd w:val="clear" w:color="DCE6F1" w:fill="DCE6F1"/>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b/>
                <w:bCs/>
                <w:sz w:val="18"/>
                <w:szCs w:val="18"/>
                <w:lang w:eastAsia="en-GB"/>
              </w:rPr>
            </w:pPr>
            <w:r w:rsidRPr="00E64195">
              <w:rPr>
                <w:rFonts w:ascii="Calibri" w:eastAsia="Times New Roman" w:hAnsi="Calibri" w:cs="Times New Roman"/>
                <w:b/>
                <w:bCs/>
                <w:sz w:val="18"/>
                <w:szCs w:val="18"/>
                <w:lang w:eastAsia="en-GB"/>
              </w:rPr>
              <w:t>405</w:t>
            </w:r>
          </w:p>
        </w:tc>
        <w:tc>
          <w:tcPr>
            <w:tcW w:w="944" w:type="pct"/>
            <w:shd w:val="clear" w:color="DCE6F1" w:fill="DCE6F1"/>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b/>
                <w:bCs/>
                <w:sz w:val="18"/>
                <w:szCs w:val="18"/>
                <w:lang w:eastAsia="en-GB"/>
              </w:rPr>
            </w:pPr>
            <w:r w:rsidRPr="00E64195">
              <w:rPr>
                <w:rFonts w:ascii="Calibri" w:eastAsia="Times New Roman" w:hAnsi="Calibri" w:cs="Times New Roman"/>
                <w:b/>
                <w:bCs/>
                <w:sz w:val="18"/>
                <w:szCs w:val="18"/>
                <w:lang w:eastAsia="en-GB"/>
              </w:rPr>
              <w:t>241</w:t>
            </w:r>
          </w:p>
        </w:tc>
        <w:tc>
          <w:tcPr>
            <w:tcW w:w="944" w:type="pct"/>
            <w:shd w:val="clear" w:color="DCE6F1" w:fill="DCE6F1"/>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b/>
                <w:bCs/>
                <w:sz w:val="18"/>
                <w:szCs w:val="18"/>
                <w:lang w:eastAsia="en-GB"/>
              </w:rPr>
            </w:pPr>
            <w:r w:rsidRPr="00E64195">
              <w:rPr>
                <w:rFonts w:ascii="Calibri" w:eastAsia="Times New Roman" w:hAnsi="Calibri" w:cs="Times New Roman"/>
                <w:b/>
                <w:bCs/>
                <w:sz w:val="18"/>
                <w:szCs w:val="18"/>
                <w:lang w:eastAsia="en-GB"/>
              </w:rPr>
              <w:t>396</w:t>
            </w:r>
          </w:p>
        </w:tc>
        <w:tc>
          <w:tcPr>
            <w:tcW w:w="676" w:type="pct"/>
            <w:shd w:val="clear" w:color="DCE6F1" w:fill="DCE6F1"/>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b/>
                <w:bCs/>
                <w:sz w:val="18"/>
                <w:szCs w:val="18"/>
                <w:lang w:eastAsia="en-GB"/>
              </w:rPr>
            </w:pPr>
            <w:r w:rsidRPr="00E64195">
              <w:rPr>
                <w:rFonts w:ascii="Calibri" w:eastAsia="Times New Roman" w:hAnsi="Calibri" w:cs="Times New Roman"/>
                <w:b/>
                <w:bCs/>
                <w:sz w:val="18"/>
                <w:szCs w:val="18"/>
                <w:lang w:eastAsia="en-GB"/>
              </w:rPr>
              <w:t>1042</w:t>
            </w:r>
          </w:p>
        </w:tc>
      </w:tr>
      <w:tr w:rsidR="004B3545" w:rsidRPr="00E64195" w:rsidTr="004B3545">
        <w:trPr>
          <w:trHeight w:val="20"/>
        </w:trPr>
        <w:tc>
          <w:tcPr>
            <w:tcW w:w="1570" w:type="pct"/>
            <w:shd w:val="clear" w:color="auto" w:fill="auto"/>
            <w:noWrap/>
            <w:vAlign w:val="bottom"/>
            <w:hideMark/>
          </w:tcPr>
          <w:p w:rsidR="004B3545" w:rsidRPr="00E6419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AUGUST</w:t>
            </w:r>
          </w:p>
        </w:tc>
        <w:tc>
          <w:tcPr>
            <w:tcW w:w="86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88</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45</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113</w:t>
            </w:r>
          </w:p>
        </w:tc>
        <w:tc>
          <w:tcPr>
            <w:tcW w:w="67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246</w:t>
            </w:r>
          </w:p>
        </w:tc>
      </w:tr>
      <w:tr w:rsidR="004B3545" w:rsidRPr="00E64195" w:rsidTr="004B3545">
        <w:trPr>
          <w:trHeight w:val="20"/>
        </w:trPr>
        <w:tc>
          <w:tcPr>
            <w:tcW w:w="1570" w:type="pct"/>
            <w:shd w:val="clear" w:color="auto" w:fill="auto"/>
            <w:noWrap/>
            <w:vAlign w:val="bottom"/>
            <w:hideMark/>
          </w:tcPr>
          <w:p w:rsidR="004B3545" w:rsidRPr="00E6419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SEPTEMBER</w:t>
            </w:r>
          </w:p>
        </w:tc>
        <w:tc>
          <w:tcPr>
            <w:tcW w:w="86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119</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47</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94</w:t>
            </w:r>
          </w:p>
        </w:tc>
        <w:tc>
          <w:tcPr>
            <w:tcW w:w="67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260</w:t>
            </w:r>
          </w:p>
        </w:tc>
      </w:tr>
      <w:tr w:rsidR="004B3545" w:rsidRPr="000A6D45" w:rsidTr="004B3545">
        <w:trPr>
          <w:trHeight w:val="20"/>
        </w:trPr>
        <w:tc>
          <w:tcPr>
            <w:tcW w:w="1570" w:type="pct"/>
            <w:shd w:val="clear" w:color="auto" w:fill="auto"/>
            <w:noWrap/>
            <w:vAlign w:val="bottom"/>
            <w:hideMark/>
          </w:tcPr>
          <w:p w:rsidR="004B3545" w:rsidRPr="00E6419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OCTOBER</w:t>
            </w:r>
          </w:p>
        </w:tc>
        <w:tc>
          <w:tcPr>
            <w:tcW w:w="866"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134</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70</w:t>
            </w:r>
          </w:p>
        </w:tc>
        <w:tc>
          <w:tcPr>
            <w:tcW w:w="944" w:type="pct"/>
            <w:shd w:val="clear" w:color="auto" w:fill="auto"/>
            <w:noWrap/>
            <w:vAlign w:val="bottom"/>
            <w:hideMark/>
          </w:tcPr>
          <w:p w:rsidR="004B3545" w:rsidRPr="00E6419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99</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E64195">
              <w:rPr>
                <w:rFonts w:ascii="Calibri" w:eastAsia="Times New Roman" w:hAnsi="Calibri" w:cs="Times New Roman"/>
                <w:sz w:val="18"/>
                <w:szCs w:val="18"/>
                <w:lang w:eastAsia="en-GB"/>
              </w:rPr>
              <w:t>303</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NOVEMBER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64</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79</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90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233</w:t>
            </w:r>
          </w:p>
        </w:tc>
      </w:tr>
      <w:tr w:rsidR="004B3545" w:rsidRPr="000A6D45" w:rsidTr="004B3545">
        <w:trPr>
          <w:trHeight w:val="20"/>
        </w:trPr>
        <w:tc>
          <w:tcPr>
            <w:tcW w:w="1570" w:type="pct"/>
            <w:shd w:val="clear" w:color="DCE6F1" w:fill="DCE6F1"/>
            <w:noWrap/>
            <w:vAlign w:val="bottom"/>
            <w:hideMark/>
          </w:tcPr>
          <w:p w:rsidR="004B3545" w:rsidRPr="000A6D45" w:rsidRDefault="004B3545" w:rsidP="004B3545">
            <w:pPr>
              <w:autoSpaceDE/>
              <w:autoSpaceDN/>
              <w:adjustRightInd/>
              <w:spacing w:after="0"/>
              <w:jc w:val="lef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C_FURTHER_NON_ACUTE_NHS</w:t>
            </w:r>
          </w:p>
        </w:tc>
        <w:tc>
          <w:tcPr>
            <w:tcW w:w="86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2291</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0</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0</w:t>
            </w:r>
          </w:p>
        </w:tc>
        <w:tc>
          <w:tcPr>
            <w:tcW w:w="67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2291</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AUGUST</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483</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483</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SEPTEMBER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389</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389</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OCTOBER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771</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771</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NOVEMBER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648</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648</w:t>
            </w:r>
          </w:p>
        </w:tc>
      </w:tr>
      <w:tr w:rsidR="004B3545" w:rsidRPr="000A6D45" w:rsidTr="004B3545">
        <w:trPr>
          <w:trHeight w:val="20"/>
        </w:trPr>
        <w:tc>
          <w:tcPr>
            <w:tcW w:w="1570" w:type="pct"/>
            <w:shd w:val="clear" w:color="DCE6F1" w:fill="DCE6F1"/>
            <w:noWrap/>
            <w:vAlign w:val="bottom"/>
            <w:hideMark/>
          </w:tcPr>
          <w:p w:rsidR="004B3545" w:rsidRPr="000A6D45" w:rsidRDefault="004B3545" w:rsidP="004B3545">
            <w:pPr>
              <w:autoSpaceDE/>
              <w:autoSpaceDN/>
              <w:adjustRightInd/>
              <w:spacing w:after="0"/>
              <w:jc w:val="lef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DI_RESIDENTIAL_HOME</w:t>
            </w:r>
          </w:p>
        </w:tc>
        <w:tc>
          <w:tcPr>
            <w:tcW w:w="86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285</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1943</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0</w:t>
            </w:r>
          </w:p>
        </w:tc>
        <w:tc>
          <w:tcPr>
            <w:tcW w:w="67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2228</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AUGUST</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32</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505</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537</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SEPTEMBER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88</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493</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581</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OCTOBER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78</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508</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586</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NOVEMBER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87</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437</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524</w:t>
            </w:r>
          </w:p>
        </w:tc>
      </w:tr>
      <w:tr w:rsidR="004B3545" w:rsidRPr="000A6D45" w:rsidTr="004B3545">
        <w:trPr>
          <w:trHeight w:val="20"/>
        </w:trPr>
        <w:tc>
          <w:tcPr>
            <w:tcW w:w="1570" w:type="pct"/>
            <w:shd w:val="clear" w:color="DCE6F1" w:fill="DCE6F1"/>
            <w:noWrap/>
            <w:vAlign w:val="bottom"/>
            <w:hideMark/>
          </w:tcPr>
          <w:p w:rsidR="004B3545" w:rsidRPr="000A6D45" w:rsidRDefault="004B3545" w:rsidP="004B3545">
            <w:pPr>
              <w:autoSpaceDE/>
              <w:autoSpaceDN/>
              <w:adjustRightInd/>
              <w:spacing w:after="0"/>
              <w:jc w:val="lef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DII_NURSING_HOME</w:t>
            </w:r>
          </w:p>
        </w:tc>
        <w:tc>
          <w:tcPr>
            <w:tcW w:w="86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1206</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1152</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441</w:t>
            </w:r>
          </w:p>
        </w:tc>
        <w:tc>
          <w:tcPr>
            <w:tcW w:w="67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2799</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AUGUST</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299</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321</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129</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749</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SEPTEMBER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312</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277</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130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719</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OCTOBER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320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313</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125</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758</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NOVEMBER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275</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241</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57</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573</w:t>
            </w:r>
          </w:p>
        </w:tc>
      </w:tr>
      <w:tr w:rsidR="004B3545" w:rsidRPr="000A6D45" w:rsidTr="004B3545">
        <w:trPr>
          <w:trHeight w:val="20"/>
        </w:trPr>
        <w:tc>
          <w:tcPr>
            <w:tcW w:w="1570" w:type="pct"/>
            <w:shd w:val="clear" w:color="DCE6F1" w:fill="DCE6F1"/>
            <w:noWrap/>
            <w:vAlign w:val="bottom"/>
            <w:hideMark/>
          </w:tcPr>
          <w:p w:rsidR="004B3545" w:rsidRPr="000A6D45" w:rsidRDefault="004B3545" w:rsidP="004B3545">
            <w:pPr>
              <w:autoSpaceDE/>
              <w:autoSpaceDN/>
              <w:adjustRightInd/>
              <w:spacing w:after="0"/>
              <w:jc w:val="lef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E_CARE_PACKAGE_IN_HOME</w:t>
            </w:r>
          </w:p>
        </w:tc>
        <w:tc>
          <w:tcPr>
            <w:tcW w:w="86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486</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1919</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101</w:t>
            </w:r>
          </w:p>
        </w:tc>
        <w:tc>
          <w:tcPr>
            <w:tcW w:w="67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2506</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AUGUST</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84</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466</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12</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562</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SEPTEMBER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111</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616</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28</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755</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OCTOBER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158</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422</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620</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NOVEMBER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133</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415</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21</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569</w:t>
            </w:r>
          </w:p>
        </w:tc>
      </w:tr>
      <w:tr w:rsidR="004B3545" w:rsidRPr="000A6D45" w:rsidTr="004B3545">
        <w:trPr>
          <w:trHeight w:val="20"/>
        </w:trPr>
        <w:tc>
          <w:tcPr>
            <w:tcW w:w="1570" w:type="pct"/>
            <w:shd w:val="clear" w:color="DCE6F1" w:fill="DCE6F1"/>
            <w:noWrap/>
            <w:vAlign w:val="bottom"/>
            <w:hideMark/>
          </w:tcPr>
          <w:p w:rsidR="004B3545" w:rsidRPr="000A6D45" w:rsidRDefault="004B3545" w:rsidP="004B3545">
            <w:pPr>
              <w:autoSpaceDE/>
              <w:autoSpaceDN/>
              <w:adjustRightInd/>
              <w:spacing w:after="0"/>
              <w:jc w:val="lef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F_COMMUNITY_EQUIP_ADAPT</w:t>
            </w:r>
          </w:p>
        </w:tc>
        <w:tc>
          <w:tcPr>
            <w:tcW w:w="86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256</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54</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2</w:t>
            </w:r>
          </w:p>
        </w:tc>
        <w:tc>
          <w:tcPr>
            <w:tcW w:w="67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312</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AUGUST</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80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18</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98</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SEPTEMBER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63</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69</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OCTOBER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37</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16</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53</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NOVEMBER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76</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15</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92</w:t>
            </w:r>
          </w:p>
        </w:tc>
      </w:tr>
      <w:tr w:rsidR="004B3545" w:rsidRPr="000A6D45" w:rsidTr="004B3545">
        <w:trPr>
          <w:trHeight w:val="20"/>
        </w:trPr>
        <w:tc>
          <w:tcPr>
            <w:tcW w:w="1570" w:type="pct"/>
            <w:shd w:val="clear" w:color="DCE6F1" w:fill="DCE6F1"/>
            <w:noWrap/>
            <w:vAlign w:val="bottom"/>
            <w:hideMark/>
          </w:tcPr>
          <w:p w:rsidR="004B3545" w:rsidRPr="000A6D45" w:rsidRDefault="004B3545" w:rsidP="004B3545">
            <w:pPr>
              <w:autoSpaceDE/>
              <w:autoSpaceDN/>
              <w:adjustRightInd/>
              <w:spacing w:after="0"/>
              <w:jc w:val="lef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G_PATIENT_FAMILY_CHOICE</w:t>
            </w:r>
          </w:p>
        </w:tc>
        <w:tc>
          <w:tcPr>
            <w:tcW w:w="86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1345</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536</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0</w:t>
            </w:r>
          </w:p>
        </w:tc>
        <w:tc>
          <w:tcPr>
            <w:tcW w:w="67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1881</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AUGUST</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273</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131</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404</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SEPTEMBER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282</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167</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449</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OCTOBER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402</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121</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523</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NOVEMBER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388</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117</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505</w:t>
            </w:r>
          </w:p>
        </w:tc>
      </w:tr>
      <w:tr w:rsidR="004B3545" w:rsidRPr="000A6D45" w:rsidTr="004B3545">
        <w:trPr>
          <w:trHeight w:val="20"/>
        </w:trPr>
        <w:tc>
          <w:tcPr>
            <w:tcW w:w="1570" w:type="pct"/>
            <w:shd w:val="clear" w:color="DCE6F1" w:fill="DCE6F1"/>
            <w:noWrap/>
            <w:vAlign w:val="bottom"/>
            <w:hideMark/>
          </w:tcPr>
          <w:p w:rsidR="004B3545" w:rsidRPr="000A6D45" w:rsidRDefault="004B3545" w:rsidP="004B3545">
            <w:pPr>
              <w:autoSpaceDE/>
              <w:autoSpaceDN/>
              <w:adjustRightInd/>
              <w:spacing w:after="0"/>
              <w:jc w:val="lef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H_DISPUTES</w:t>
            </w:r>
          </w:p>
        </w:tc>
        <w:tc>
          <w:tcPr>
            <w:tcW w:w="86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118</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116</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0</w:t>
            </w:r>
          </w:p>
        </w:tc>
        <w:tc>
          <w:tcPr>
            <w:tcW w:w="67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234</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AUGUST</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13</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68</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81</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SEPTEMBER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44</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74</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OCTOBER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31</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18</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49</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NOVEMBER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30</w:t>
            </w:r>
          </w:p>
        </w:tc>
      </w:tr>
      <w:tr w:rsidR="004B3545" w:rsidRPr="000A6D45" w:rsidTr="004B3545">
        <w:trPr>
          <w:trHeight w:val="20"/>
        </w:trPr>
        <w:tc>
          <w:tcPr>
            <w:tcW w:w="1570" w:type="pct"/>
            <w:shd w:val="clear" w:color="DCE6F1" w:fill="DCE6F1"/>
            <w:noWrap/>
            <w:vAlign w:val="bottom"/>
            <w:hideMark/>
          </w:tcPr>
          <w:p w:rsidR="004B3545" w:rsidRPr="000A6D45" w:rsidRDefault="004B3545" w:rsidP="004B3545">
            <w:pPr>
              <w:autoSpaceDE/>
              <w:autoSpaceDN/>
              <w:adjustRightInd/>
              <w:spacing w:after="0"/>
              <w:jc w:val="lef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I_HOUSING</w:t>
            </w:r>
          </w:p>
        </w:tc>
        <w:tc>
          <w:tcPr>
            <w:tcW w:w="86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64</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0</w:t>
            </w:r>
          </w:p>
        </w:tc>
        <w:tc>
          <w:tcPr>
            <w:tcW w:w="944"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0</w:t>
            </w:r>
          </w:p>
        </w:tc>
        <w:tc>
          <w:tcPr>
            <w:tcW w:w="676" w:type="pct"/>
            <w:shd w:val="clear" w:color="DCE6F1" w:fill="DCE6F1"/>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64</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AUGUST</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9</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9</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SEPTEMBER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27</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27</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OCTOBER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18</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18</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ind w:firstLineChars="100" w:firstLine="180"/>
              <w:jc w:val="lef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NOVEMBER</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0</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sz w:val="18"/>
                <w:szCs w:val="18"/>
                <w:lang w:eastAsia="en-GB"/>
              </w:rPr>
            </w:pPr>
            <w:r w:rsidRPr="000A6D45">
              <w:rPr>
                <w:rFonts w:ascii="Calibri" w:eastAsia="Times New Roman" w:hAnsi="Calibri" w:cs="Times New Roman"/>
                <w:sz w:val="18"/>
                <w:szCs w:val="18"/>
                <w:lang w:eastAsia="en-GB"/>
              </w:rPr>
              <w:t>10</w:t>
            </w:r>
          </w:p>
        </w:tc>
      </w:tr>
      <w:tr w:rsidR="004B3545" w:rsidRPr="000A6D45" w:rsidTr="004B3545">
        <w:trPr>
          <w:trHeight w:val="20"/>
        </w:trPr>
        <w:tc>
          <w:tcPr>
            <w:tcW w:w="1570" w:type="pct"/>
            <w:shd w:val="clear" w:color="auto" w:fill="auto"/>
            <w:noWrap/>
            <w:vAlign w:val="bottom"/>
            <w:hideMark/>
          </w:tcPr>
          <w:p w:rsidR="004B3545" w:rsidRPr="000A6D45" w:rsidRDefault="004B3545" w:rsidP="004B3545">
            <w:pPr>
              <w:autoSpaceDE/>
              <w:autoSpaceDN/>
              <w:adjustRightInd/>
              <w:spacing w:after="0"/>
              <w:jc w:val="lef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Grand Total</w:t>
            </w:r>
          </w:p>
        </w:tc>
        <w:tc>
          <w:tcPr>
            <w:tcW w:w="86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8390</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8332</w:t>
            </w:r>
          </w:p>
        </w:tc>
        <w:tc>
          <w:tcPr>
            <w:tcW w:w="944"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1428</w:t>
            </w:r>
          </w:p>
        </w:tc>
        <w:tc>
          <w:tcPr>
            <w:tcW w:w="676" w:type="pct"/>
            <w:shd w:val="clear" w:color="auto" w:fill="auto"/>
            <w:noWrap/>
            <w:vAlign w:val="bottom"/>
            <w:hideMark/>
          </w:tcPr>
          <w:p w:rsidR="004B3545" w:rsidRPr="000A6D45" w:rsidRDefault="004B3545" w:rsidP="004B3545">
            <w:pPr>
              <w:autoSpaceDE/>
              <w:autoSpaceDN/>
              <w:adjustRightInd/>
              <w:spacing w:after="0"/>
              <w:jc w:val="right"/>
              <w:rPr>
                <w:rFonts w:ascii="Calibri" w:eastAsia="Times New Roman" w:hAnsi="Calibri" w:cs="Times New Roman"/>
                <w:b/>
                <w:bCs/>
                <w:sz w:val="18"/>
                <w:szCs w:val="18"/>
                <w:lang w:eastAsia="en-GB"/>
              </w:rPr>
            </w:pPr>
            <w:r w:rsidRPr="000A6D45">
              <w:rPr>
                <w:rFonts w:ascii="Calibri" w:eastAsia="Times New Roman" w:hAnsi="Calibri" w:cs="Times New Roman"/>
                <w:b/>
                <w:bCs/>
                <w:sz w:val="18"/>
                <w:szCs w:val="18"/>
                <w:lang w:eastAsia="en-GB"/>
              </w:rPr>
              <w:t>18150</w:t>
            </w:r>
          </w:p>
        </w:tc>
      </w:tr>
    </w:tbl>
    <w:p w:rsidR="004B3545" w:rsidRPr="000A6D45" w:rsidRDefault="004B3545" w:rsidP="0069758B">
      <w:pPr>
        <w:spacing w:line="259" w:lineRule="auto"/>
        <w:rPr>
          <w:rFonts w:cs="Arial"/>
        </w:rPr>
      </w:pPr>
    </w:p>
    <w:p w:rsidR="00D20769" w:rsidRPr="000A6D45" w:rsidRDefault="00D20769" w:rsidP="0069758B">
      <w:pPr>
        <w:spacing w:line="259" w:lineRule="auto"/>
        <w:rPr>
          <w:rFonts w:cs="Arial"/>
        </w:rPr>
      </w:pPr>
      <w:r w:rsidRPr="000A6D45">
        <w:rPr>
          <w:rFonts w:cs="Arial"/>
        </w:rPr>
        <w:t xml:space="preserve">The </w:t>
      </w:r>
      <w:r w:rsidR="002D42D8" w:rsidRPr="000A6D45">
        <w:rPr>
          <w:rFonts w:cs="Arial"/>
        </w:rPr>
        <w:t>Nov</w:t>
      </w:r>
      <w:r w:rsidRPr="000A6D45">
        <w:rPr>
          <w:rFonts w:cs="Arial"/>
        </w:rPr>
        <w:t xml:space="preserve">-17 overall </w:t>
      </w:r>
      <w:r w:rsidR="002D42D8" w:rsidRPr="000A6D45">
        <w:rPr>
          <w:rFonts w:cs="Arial"/>
        </w:rPr>
        <w:t>in</w:t>
      </w:r>
      <w:r w:rsidRPr="000A6D45">
        <w:rPr>
          <w:rFonts w:cs="Arial"/>
        </w:rPr>
        <w:t xml:space="preserve">crease for assessment completion </w:t>
      </w:r>
      <w:r w:rsidR="00504A13" w:rsidRPr="000A6D45">
        <w:rPr>
          <w:rFonts w:cs="Arial"/>
        </w:rPr>
        <w:t>reverses</w:t>
      </w:r>
      <w:r w:rsidRPr="000A6D45">
        <w:rPr>
          <w:rFonts w:cs="Arial"/>
        </w:rPr>
        <w:t xml:space="preserve"> the recent trend of a decrease for social care</w:t>
      </w:r>
      <w:r w:rsidR="00504A13" w:rsidRPr="000A6D45">
        <w:rPr>
          <w:rFonts w:cs="Arial"/>
        </w:rPr>
        <w:t xml:space="preserve"> and an</w:t>
      </w:r>
      <w:r w:rsidRPr="000A6D45">
        <w:rPr>
          <w:rFonts w:cs="Arial"/>
        </w:rPr>
        <w:t xml:space="preserve"> increase for NHS</w:t>
      </w:r>
      <w:r w:rsidR="00504A13" w:rsidRPr="000A6D45">
        <w:rPr>
          <w:rFonts w:cs="Arial"/>
        </w:rPr>
        <w:t>, but continues an</w:t>
      </w:r>
      <w:r w:rsidRPr="000A6D45">
        <w:rPr>
          <w:rFonts w:cs="Arial"/>
        </w:rPr>
        <w:t xml:space="preserve"> increase for jointly attributable days. Recent trends for the other major reasons through </w:t>
      </w:r>
      <w:r w:rsidR="00504A13" w:rsidRPr="000A6D45">
        <w:rPr>
          <w:rFonts w:cs="Arial"/>
        </w:rPr>
        <w:t>Aug</w:t>
      </w:r>
      <w:r w:rsidRPr="000A6D45">
        <w:rPr>
          <w:rFonts w:cs="Arial"/>
        </w:rPr>
        <w:t xml:space="preserve">-17 to </w:t>
      </w:r>
      <w:r w:rsidR="00504A13" w:rsidRPr="000A6D45">
        <w:rPr>
          <w:rFonts w:cs="Arial"/>
        </w:rPr>
        <w:t>Nov</w:t>
      </w:r>
      <w:r w:rsidRPr="000A6D45">
        <w:rPr>
          <w:rFonts w:cs="Arial"/>
        </w:rPr>
        <w:t xml:space="preserve">-17 show a decrease for social care attributable delayed days in </w:t>
      </w:r>
      <w:r w:rsidR="00504A13" w:rsidRPr="000A6D45">
        <w:rPr>
          <w:rFonts w:cs="Arial"/>
        </w:rPr>
        <w:t xml:space="preserve">arranging nursing care (from 313 in Oct-17 to 241 in Nov-17) and </w:t>
      </w:r>
      <w:r w:rsidRPr="000A6D45">
        <w:rPr>
          <w:rFonts w:cs="Arial"/>
        </w:rPr>
        <w:t>arranging a care package (from 616 in Sep-17 to 4</w:t>
      </w:r>
      <w:r w:rsidR="00504A13" w:rsidRPr="000A6D45">
        <w:rPr>
          <w:rFonts w:cs="Arial"/>
        </w:rPr>
        <w:t>15</w:t>
      </w:r>
      <w:r w:rsidRPr="000A6D45">
        <w:rPr>
          <w:rFonts w:cs="Arial"/>
        </w:rPr>
        <w:t xml:space="preserve"> in </w:t>
      </w:r>
      <w:r w:rsidR="00504A13" w:rsidRPr="000A6D45">
        <w:rPr>
          <w:rFonts w:cs="Arial"/>
        </w:rPr>
        <w:t>Nov</w:t>
      </w:r>
      <w:r w:rsidRPr="000A6D45">
        <w:rPr>
          <w:rFonts w:cs="Arial"/>
        </w:rPr>
        <w:t>-17):</w:t>
      </w:r>
    </w:p>
    <w:p w:rsidR="002D42D8" w:rsidRPr="000A6D45" w:rsidRDefault="002D42D8" w:rsidP="0069758B">
      <w:pPr>
        <w:spacing w:line="259" w:lineRule="auto"/>
        <w:rPr>
          <w:rFonts w:cs="Arial"/>
        </w:rPr>
      </w:pPr>
      <w:r w:rsidRPr="000A6D45">
        <w:rPr>
          <w:noProof/>
          <w:lang w:eastAsia="en-GB"/>
        </w:rPr>
        <w:drawing>
          <wp:inline distT="0" distB="0" distL="0" distR="0" wp14:anchorId="4A12D92C" wp14:editId="4BEE5BC4">
            <wp:extent cx="5727700" cy="3325091"/>
            <wp:effectExtent l="0" t="0" r="6350" b="889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20769" w:rsidRPr="00EA5B25" w:rsidRDefault="00D20769" w:rsidP="00F669DE">
      <w:pPr>
        <w:spacing w:after="240" w:line="259" w:lineRule="auto"/>
        <w:rPr>
          <w:rFonts w:cs="Arial"/>
        </w:rPr>
      </w:pPr>
      <w:r w:rsidRPr="00EA5B25">
        <w:rPr>
          <w:rFonts w:cs="Arial"/>
        </w:rPr>
        <w:t xml:space="preserve">Of the </w:t>
      </w:r>
      <w:r w:rsidR="00E53E25" w:rsidRPr="00EA5B25">
        <w:rPr>
          <w:rFonts w:cs="Arial"/>
        </w:rPr>
        <w:t>632</w:t>
      </w:r>
      <w:r w:rsidRPr="00EA5B25">
        <w:rPr>
          <w:rFonts w:cs="Arial"/>
        </w:rPr>
        <w:t xml:space="preserve"> delayed days recorded in </w:t>
      </w:r>
      <w:r w:rsidR="00E53E25" w:rsidRPr="00EA5B25">
        <w:rPr>
          <w:rFonts w:cs="Arial"/>
        </w:rPr>
        <w:t>Nov</w:t>
      </w:r>
      <w:r w:rsidRPr="00EA5B25">
        <w:rPr>
          <w:rFonts w:cs="Arial"/>
        </w:rPr>
        <w:t xml:space="preserve">-17 for delays in assessment completion attributable to social care, a total of </w:t>
      </w:r>
      <w:r w:rsidR="00EA5B25" w:rsidRPr="00EA5B25">
        <w:rPr>
          <w:rFonts w:cs="Arial"/>
        </w:rPr>
        <w:t>487</w:t>
      </w:r>
      <w:r w:rsidRPr="00EA5B25">
        <w:rPr>
          <w:rFonts w:cs="Arial"/>
        </w:rPr>
        <w:t xml:space="preserve"> (7</w:t>
      </w:r>
      <w:r w:rsidR="00EA5B25" w:rsidRPr="00EA5B25">
        <w:rPr>
          <w:rFonts w:cs="Arial"/>
        </w:rPr>
        <w:t>7</w:t>
      </w:r>
      <w:r w:rsidRPr="00EA5B25">
        <w:rPr>
          <w:rFonts w:cs="Arial"/>
        </w:rPr>
        <w:t xml:space="preserve">%) were recorded by Lancashire Teaching Hospitals NHS Foundation Trust, but this is </w:t>
      </w:r>
      <w:r w:rsidR="00EA5B25" w:rsidRPr="00EA5B25">
        <w:rPr>
          <w:rFonts w:cs="Arial"/>
        </w:rPr>
        <w:t xml:space="preserve">still </w:t>
      </w:r>
      <w:r w:rsidRPr="00EA5B25">
        <w:rPr>
          <w:rFonts w:cs="Arial"/>
        </w:rPr>
        <w:t>a vast improvement on the</w:t>
      </w:r>
      <w:r w:rsidR="00EA5B25" w:rsidRPr="00EA5B25">
        <w:rPr>
          <w:rFonts w:cs="Arial"/>
        </w:rPr>
        <w:t>ir</w:t>
      </w:r>
      <w:r w:rsidRPr="00EA5B25">
        <w:rPr>
          <w:rFonts w:cs="Arial"/>
        </w:rPr>
        <w:t xml:space="preserve"> figure of 1050 recorded in Jul-17:</w:t>
      </w:r>
    </w:p>
    <w:p w:rsidR="00EA5B25" w:rsidRDefault="00E53E25" w:rsidP="00EA5B25">
      <w:pPr>
        <w:spacing w:line="259" w:lineRule="auto"/>
        <w:rPr>
          <w:rFonts w:cs="Arial"/>
        </w:rPr>
      </w:pPr>
      <w:r w:rsidRPr="00EA5B25">
        <w:rPr>
          <w:noProof/>
          <w:lang w:eastAsia="en-GB"/>
        </w:rPr>
        <w:drawing>
          <wp:inline distT="0" distB="0" distL="0" distR="0" wp14:anchorId="154640FF" wp14:editId="41E7E86A">
            <wp:extent cx="5727700" cy="2995930"/>
            <wp:effectExtent l="0" t="0" r="6350" b="139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A5B25" w:rsidRDefault="00EA5B25" w:rsidP="00EA5B25">
      <w:pPr>
        <w:spacing w:line="259" w:lineRule="auto"/>
        <w:rPr>
          <w:rFonts w:cs="Arial"/>
        </w:rPr>
      </w:pPr>
    </w:p>
    <w:sectPr w:rsidR="00EA5B25" w:rsidSect="00314200">
      <w:headerReference w:type="default" r:id="rId29"/>
      <w:footerReference w:type="default" r:id="rId30"/>
      <w:pgSz w:w="11900" w:h="16840" w:code="9"/>
      <w:pgMar w:top="1440" w:right="1440" w:bottom="1440" w:left="1440" w:header="567" w:footer="567" w:gutter="0"/>
      <w:pgNumType w:start="1"/>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6FF0" w:rsidRDefault="001A6FF0" w:rsidP="00124FDC">
      <w:pPr>
        <w:spacing w:after="0"/>
      </w:pPr>
      <w:r>
        <w:separator/>
      </w:r>
    </w:p>
  </w:endnote>
  <w:endnote w:type="continuationSeparator" w:id="0">
    <w:p w:rsidR="001A6FF0" w:rsidRDefault="001A6FF0" w:rsidP="00124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shd w:val="clear" w:color="auto" w:fill="BFBFBF"/>
      <w:tblLook w:val="04A0" w:firstRow="1" w:lastRow="0" w:firstColumn="1" w:lastColumn="0" w:noHBand="0" w:noVBand="1"/>
    </w:tblPr>
    <w:tblGrid>
      <w:gridCol w:w="9020"/>
    </w:tblGrid>
    <w:tr w:rsidR="001A6FF0" w:rsidRPr="008E5502" w:rsidTr="00C74127">
      <w:trPr>
        <w:jc w:val="center"/>
      </w:trPr>
      <w:tc>
        <w:tcPr>
          <w:tcW w:w="5000" w:type="pct"/>
          <w:shd w:val="clear" w:color="auto" w:fill="BFBFBF"/>
        </w:tcPr>
        <w:p w:rsidR="001A6FF0" w:rsidRPr="008E5502" w:rsidRDefault="001A6FF0" w:rsidP="00DB6FF3">
          <w:pPr>
            <w:pStyle w:val="Footer"/>
          </w:pPr>
          <w:r w:rsidRPr="008E5502">
            <w:t xml:space="preserve">• </w:t>
          </w:r>
          <w:r>
            <w:fldChar w:fldCharType="begin"/>
          </w:r>
          <w:r>
            <w:instrText xml:space="preserve"> PAGE   \* MERGEFORMAT </w:instrText>
          </w:r>
          <w:r>
            <w:fldChar w:fldCharType="separate"/>
          </w:r>
          <w:r w:rsidR="007F195D">
            <w:rPr>
              <w:noProof/>
            </w:rPr>
            <w:t>18</w:t>
          </w:r>
          <w:r>
            <w:fldChar w:fldCharType="end"/>
          </w:r>
          <w:r w:rsidRPr="008E5502">
            <w:t xml:space="preserve"> •</w:t>
          </w:r>
        </w:p>
      </w:tc>
    </w:tr>
  </w:tbl>
  <w:p w:rsidR="001A6FF0" w:rsidRDefault="001A6FF0" w:rsidP="008E5502">
    <w:pPr>
      <w:pStyle w:val="ancho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6FF0" w:rsidRDefault="001A6FF0" w:rsidP="00124FDC">
      <w:pPr>
        <w:spacing w:after="0"/>
      </w:pPr>
      <w:r>
        <w:separator/>
      </w:r>
    </w:p>
  </w:footnote>
  <w:footnote w:type="continuationSeparator" w:id="0">
    <w:p w:rsidR="001A6FF0" w:rsidRDefault="001A6FF0" w:rsidP="00124F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FF0" w:rsidRDefault="001A6FF0">
    <w:pPr>
      <w:pStyle w:val="Header"/>
    </w:pPr>
    <w:r>
      <w:rPr>
        <w:noProof/>
        <w:lang w:eastAsia="en-GB"/>
      </w:rPr>
      <w:drawing>
        <wp:anchor distT="0" distB="0" distL="114300" distR="114300" simplePos="0" relativeHeight="251658240" behindDoc="1" locked="0" layoutInCell="1" allowOverlap="1">
          <wp:simplePos x="0" y="0"/>
          <wp:positionH relativeFrom="column">
            <wp:posOffset>-931545</wp:posOffset>
          </wp:positionH>
          <wp:positionV relativeFrom="paragraph">
            <wp:posOffset>-189230</wp:posOffset>
          </wp:positionV>
          <wp:extent cx="7571740" cy="10709910"/>
          <wp:effectExtent l="0" t="0" r="1270" b="0"/>
          <wp:wrapNone/>
          <wp:docPr id="8" name="Picture 8" descr="5085 Report Fron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085 Report Front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709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FF0" w:rsidRDefault="001A6FF0">
    <w:pPr>
      <w:pStyle w:val="Header"/>
    </w:pPr>
    <w:r>
      <w:rPr>
        <w:noProof/>
        <w:lang w:eastAsia="en-GB"/>
      </w:rPr>
      <w:drawing>
        <wp:anchor distT="0" distB="0" distL="114300" distR="114300" simplePos="0" relativeHeight="251657216" behindDoc="1" locked="0" layoutInCell="1" allowOverlap="1">
          <wp:simplePos x="0" y="0"/>
          <wp:positionH relativeFrom="column">
            <wp:posOffset>-478155</wp:posOffset>
          </wp:positionH>
          <wp:positionV relativeFrom="paragraph">
            <wp:posOffset>-450215</wp:posOffset>
          </wp:positionV>
          <wp:extent cx="7564755" cy="10689590"/>
          <wp:effectExtent l="0" t="0" r="5080" b="0"/>
          <wp:wrapNone/>
          <wp:docPr id="7" name="Picture 7" descr="5085 Repor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85 Report 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shd w:val="clear" w:color="auto" w:fill="D31145"/>
      <w:tblLook w:val="04A0" w:firstRow="1" w:lastRow="0" w:firstColumn="1" w:lastColumn="0" w:noHBand="0" w:noVBand="1"/>
    </w:tblPr>
    <w:tblGrid>
      <w:gridCol w:w="9020"/>
    </w:tblGrid>
    <w:tr w:rsidR="001A6FF0" w:rsidTr="00C74127">
      <w:trPr>
        <w:jc w:val="center"/>
      </w:trPr>
      <w:tc>
        <w:tcPr>
          <w:tcW w:w="5000" w:type="pct"/>
          <w:shd w:val="clear" w:color="auto" w:fill="D31145"/>
        </w:tcPr>
        <w:p w:rsidR="001A6FF0" w:rsidRPr="00C74127" w:rsidRDefault="001A6FF0" w:rsidP="00034822">
          <w:pPr>
            <w:pStyle w:val="Header"/>
            <w:jc w:val="center"/>
          </w:pPr>
          <w:r w:rsidRPr="00034822">
            <w:t>Lancashire DToC Nov-17</w:t>
          </w:r>
          <w:r>
            <w:t xml:space="preserve"> v02</w:t>
          </w:r>
        </w:p>
      </w:tc>
    </w:tr>
  </w:tbl>
  <w:p w:rsidR="001A6FF0" w:rsidRDefault="001A6FF0" w:rsidP="008E5502">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DE378D"/>
    <w:multiLevelType w:val="hybridMultilevel"/>
    <w:tmpl w:val="669255CA"/>
    <w:lvl w:ilvl="0" w:tplc="D8D6435A">
      <w:start w:val="1"/>
      <w:numFmt w:val="bullet"/>
      <w:pStyle w:val="Bullet"/>
      <w:lvlText w:val=""/>
      <w:lvlJc w:val="left"/>
      <w:pPr>
        <w:ind w:left="1077" w:hanging="360"/>
      </w:pPr>
      <w:rPr>
        <w:rFonts w:ascii="Symbol" w:hAnsi="Symbol" w:hint="default"/>
      </w:rPr>
    </w:lvl>
    <w:lvl w:ilvl="1" w:tplc="95C636E8">
      <w:start w:val="1"/>
      <w:numFmt w:val="bullet"/>
      <w:pStyle w:val="Bullet-inden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9E0631A"/>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623C60FD"/>
    <w:multiLevelType w:val="hybridMultilevel"/>
    <w:tmpl w:val="35C4F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 w:numId="3">
    <w:abstractNumId w:val="4"/>
  </w:num>
  <w:num w:numId="4">
    <w:abstractNumId w:val="2"/>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attachedTemplate r:id="rId1"/>
  <w:defaultTabStop w:val="720"/>
  <w:drawingGridHorizontalSpacing w:val="120"/>
  <w:drawingGridVerticalSpacing w:val="360"/>
  <w:displayHorizontalDrawingGridEvery w:val="0"/>
  <w:displayVerticalDrawingGridEvery w:val="0"/>
  <w:characterSpacingControl w:val="doNotCompress"/>
  <w:hdrShapeDefaults>
    <o:shapedefaults v:ext="edit" spidmax="16385">
      <o:colormru v:ext="edit" colors="#d31145,#fffddf,#ffecd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898"/>
    <w:rsid w:val="00000CB1"/>
    <w:rsid w:val="00002B14"/>
    <w:rsid w:val="0001341B"/>
    <w:rsid w:val="0002009B"/>
    <w:rsid w:val="00034822"/>
    <w:rsid w:val="0004609F"/>
    <w:rsid w:val="00054C03"/>
    <w:rsid w:val="000701AB"/>
    <w:rsid w:val="0007606B"/>
    <w:rsid w:val="0008360D"/>
    <w:rsid w:val="00092756"/>
    <w:rsid w:val="0009438D"/>
    <w:rsid w:val="000A1E1B"/>
    <w:rsid w:val="000A3BD2"/>
    <w:rsid w:val="000A6D45"/>
    <w:rsid w:val="000B11F8"/>
    <w:rsid w:val="000B29E0"/>
    <w:rsid w:val="000D15C8"/>
    <w:rsid w:val="000D3601"/>
    <w:rsid w:val="000D4BF2"/>
    <w:rsid w:val="000D6819"/>
    <w:rsid w:val="000E00B0"/>
    <w:rsid w:val="000F2763"/>
    <w:rsid w:val="000F2931"/>
    <w:rsid w:val="000F3AC7"/>
    <w:rsid w:val="001001D6"/>
    <w:rsid w:val="00112B05"/>
    <w:rsid w:val="001248E1"/>
    <w:rsid w:val="00124FDC"/>
    <w:rsid w:val="001318F2"/>
    <w:rsid w:val="00142E26"/>
    <w:rsid w:val="00145C7C"/>
    <w:rsid w:val="0015063B"/>
    <w:rsid w:val="001553A9"/>
    <w:rsid w:val="00157938"/>
    <w:rsid w:val="0016157E"/>
    <w:rsid w:val="00165163"/>
    <w:rsid w:val="00166E9B"/>
    <w:rsid w:val="00174280"/>
    <w:rsid w:val="0017632B"/>
    <w:rsid w:val="001873E0"/>
    <w:rsid w:val="001A134C"/>
    <w:rsid w:val="001A5E75"/>
    <w:rsid w:val="001A6FF0"/>
    <w:rsid w:val="001D6C4E"/>
    <w:rsid w:val="001E0F9F"/>
    <w:rsid w:val="001E22B3"/>
    <w:rsid w:val="001E417F"/>
    <w:rsid w:val="001E7EF0"/>
    <w:rsid w:val="001F0E89"/>
    <w:rsid w:val="001F3465"/>
    <w:rsid w:val="00210D52"/>
    <w:rsid w:val="00214801"/>
    <w:rsid w:val="00222D1E"/>
    <w:rsid w:val="00227E9E"/>
    <w:rsid w:val="002345FB"/>
    <w:rsid w:val="00250C1A"/>
    <w:rsid w:val="002578B8"/>
    <w:rsid w:val="0026678D"/>
    <w:rsid w:val="00267E3B"/>
    <w:rsid w:val="00275B89"/>
    <w:rsid w:val="00281495"/>
    <w:rsid w:val="00285898"/>
    <w:rsid w:val="002918E8"/>
    <w:rsid w:val="002971C1"/>
    <w:rsid w:val="002A0203"/>
    <w:rsid w:val="002A3292"/>
    <w:rsid w:val="002A6DE2"/>
    <w:rsid w:val="002B6FC4"/>
    <w:rsid w:val="002C4196"/>
    <w:rsid w:val="002D42D8"/>
    <w:rsid w:val="002D5781"/>
    <w:rsid w:val="002E0CED"/>
    <w:rsid w:val="002E5340"/>
    <w:rsid w:val="002F4AF1"/>
    <w:rsid w:val="003006E7"/>
    <w:rsid w:val="003059E8"/>
    <w:rsid w:val="00313657"/>
    <w:rsid w:val="00314200"/>
    <w:rsid w:val="00317F38"/>
    <w:rsid w:val="003208A2"/>
    <w:rsid w:val="003218D4"/>
    <w:rsid w:val="0032276D"/>
    <w:rsid w:val="0032298A"/>
    <w:rsid w:val="00325446"/>
    <w:rsid w:val="00325CF6"/>
    <w:rsid w:val="00326867"/>
    <w:rsid w:val="003321F2"/>
    <w:rsid w:val="003348C9"/>
    <w:rsid w:val="003350AF"/>
    <w:rsid w:val="00340774"/>
    <w:rsid w:val="00350F56"/>
    <w:rsid w:val="00352C6F"/>
    <w:rsid w:val="00365825"/>
    <w:rsid w:val="0037559D"/>
    <w:rsid w:val="00386B6C"/>
    <w:rsid w:val="00394975"/>
    <w:rsid w:val="003A55F8"/>
    <w:rsid w:val="003A7DCB"/>
    <w:rsid w:val="003B0C73"/>
    <w:rsid w:val="003B77BD"/>
    <w:rsid w:val="003C5D0D"/>
    <w:rsid w:val="003D1166"/>
    <w:rsid w:val="003E1CEE"/>
    <w:rsid w:val="003E4C50"/>
    <w:rsid w:val="003E743D"/>
    <w:rsid w:val="003F4D17"/>
    <w:rsid w:val="003F55B6"/>
    <w:rsid w:val="004077C0"/>
    <w:rsid w:val="00424E57"/>
    <w:rsid w:val="0042503D"/>
    <w:rsid w:val="00442270"/>
    <w:rsid w:val="00451CE6"/>
    <w:rsid w:val="004533FD"/>
    <w:rsid w:val="00472A0F"/>
    <w:rsid w:val="00487350"/>
    <w:rsid w:val="004A4F18"/>
    <w:rsid w:val="004B3545"/>
    <w:rsid w:val="004B573E"/>
    <w:rsid w:val="004C22BB"/>
    <w:rsid w:val="004C2626"/>
    <w:rsid w:val="004D0BEF"/>
    <w:rsid w:val="004D0F2F"/>
    <w:rsid w:val="004E37D2"/>
    <w:rsid w:val="004F4F4A"/>
    <w:rsid w:val="004F7221"/>
    <w:rsid w:val="005001EC"/>
    <w:rsid w:val="00504A13"/>
    <w:rsid w:val="005107F5"/>
    <w:rsid w:val="00510A25"/>
    <w:rsid w:val="00511F5D"/>
    <w:rsid w:val="00516099"/>
    <w:rsid w:val="00516FCA"/>
    <w:rsid w:val="00531F2A"/>
    <w:rsid w:val="005331E8"/>
    <w:rsid w:val="00533982"/>
    <w:rsid w:val="005360E5"/>
    <w:rsid w:val="0054261B"/>
    <w:rsid w:val="00544984"/>
    <w:rsid w:val="00553EFD"/>
    <w:rsid w:val="005546BD"/>
    <w:rsid w:val="005602EE"/>
    <w:rsid w:val="00561245"/>
    <w:rsid w:val="00562427"/>
    <w:rsid w:val="00565C56"/>
    <w:rsid w:val="00565DF7"/>
    <w:rsid w:val="005676C6"/>
    <w:rsid w:val="005802F2"/>
    <w:rsid w:val="00591F1A"/>
    <w:rsid w:val="00594064"/>
    <w:rsid w:val="005A4493"/>
    <w:rsid w:val="005A6BE8"/>
    <w:rsid w:val="005B555D"/>
    <w:rsid w:val="005C0AD2"/>
    <w:rsid w:val="005C14AC"/>
    <w:rsid w:val="005C38AB"/>
    <w:rsid w:val="005C5693"/>
    <w:rsid w:val="005E4042"/>
    <w:rsid w:val="005E6D70"/>
    <w:rsid w:val="005F0A9A"/>
    <w:rsid w:val="00602D56"/>
    <w:rsid w:val="0061106D"/>
    <w:rsid w:val="006208E7"/>
    <w:rsid w:val="0062134E"/>
    <w:rsid w:val="006226CB"/>
    <w:rsid w:val="00641054"/>
    <w:rsid w:val="00642CD8"/>
    <w:rsid w:val="00650336"/>
    <w:rsid w:val="0065074E"/>
    <w:rsid w:val="00654564"/>
    <w:rsid w:val="006549D3"/>
    <w:rsid w:val="006573DF"/>
    <w:rsid w:val="00657E34"/>
    <w:rsid w:val="00663E2A"/>
    <w:rsid w:val="00675165"/>
    <w:rsid w:val="00675B77"/>
    <w:rsid w:val="006803D3"/>
    <w:rsid w:val="00684762"/>
    <w:rsid w:val="00684B24"/>
    <w:rsid w:val="006960C9"/>
    <w:rsid w:val="0069758B"/>
    <w:rsid w:val="006A7810"/>
    <w:rsid w:val="006B1F53"/>
    <w:rsid w:val="006C210D"/>
    <w:rsid w:val="006C4F7E"/>
    <w:rsid w:val="006D7BB1"/>
    <w:rsid w:val="006E349B"/>
    <w:rsid w:val="006F4002"/>
    <w:rsid w:val="0071173E"/>
    <w:rsid w:val="00716937"/>
    <w:rsid w:val="00717052"/>
    <w:rsid w:val="00730B2B"/>
    <w:rsid w:val="00736579"/>
    <w:rsid w:val="00737491"/>
    <w:rsid w:val="007423F7"/>
    <w:rsid w:val="00745B0F"/>
    <w:rsid w:val="007468E3"/>
    <w:rsid w:val="00746FC5"/>
    <w:rsid w:val="00753FFD"/>
    <w:rsid w:val="00770CBB"/>
    <w:rsid w:val="0077399D"/>
    <w:rsid w:val="0078258A"/>
    <w:rsid w:val="00782BD5"/>
    <w:rsid w:val="00784105"/>
    <w:rsid w:val="00784BFA"/>
    <w:rsid w:val="007871E4"/>
    <w:rsid w:val="0079281C"/>
    <w:rsid w:val="00795732"/>
    <w:rsid w:val="00797100"/>
    <w:rsid w:val="007A5DF9"/>
    <w:rsid w:val="007A7D0A"/>
    <w:rsid w:val="007B5C1B"/>
    <w:rsid w:val="007E1CBA"/>
    <w:rsid w:val="007E1FED"/>
    <w:rsid w:val="007E778D"/>
    <w:rsid w:val="007F0E6B"/>
    <w:rsid w:val="007F158D"/>
    <w:rsid w:val="007F195D"/>
    <w:rsid w:val="00800270"/>
    <w:rsid w:val="00813CEC"/>
    <w:rsid w:val="00817D25"/>
    <w:rsid w:val="00843FA3"/>
    <w:rsid w:val="00846066"/>
    <w:rsid w:val="00846AEA"/>
    <w:rsid w:val="00846DAF"/>
    <w:rsid w:val="00850008"/>
    <w:rsid w:val="008656E7"/>
    <w:rsid w:val="008707EB"/>
    <w:rsid w:val="00874FCD"/>
    <w:rsid w:val="0088444B"/>
    <w:rsid w:val="00886A5B"/>
    <w:rsid w:val="00887C6E"/>
    <w:rsid w:val="008A301D"/>
    <w:rsid w:val="008A7A1E"/>
    <w:rsid w:val="008C3748"/>
    <w:rsid w:val="008D4B18"/>
    <w:rsid w:val="008D4FF6"/>
    <w:rsid w:val="008D5152"/>
    <w:rsid w:val="008D6E36"/>
    <w:rsid w:val="008E11C5"/>
    <w:rsid w:val="008E5502"/>
    <w:rsid w:val="008F138A"/>
    <w:rsid w:val="008F44ED"/>
    <w:rsid w:val="009012FB"/>
    <w:rsid w:val="009028CB"/>
    <w:rsid w:val="00914EC4"/>
    <w:rsid w:val="00917036"/>
    <w:rsid w:val="0092413A"/>
    <w:rsid w:val="00926AF1"/>
    <w:rsid w:val="00932A59"/>
    <w:rsid w:val="009337DD"/>
    <w:rsid w:val="009343D3"/>
    <w:rsid w:val="00937EE0"/>
    <w:rsid w:val="0094232A"/>
    <w:rsid w:val="00942AF1"/>
    <w:rsid w:val="00942BC2"/>
    <w:rsid w:val="009554C0"/>
    <w:rsid w:val="00961639"/>
    <w:rsid w:val="0096401E"/>
    <w:rsid w:val="009652E6"/>
    <w:rsid w:val="009677B6"/>
    <w:rsid w:val="00971041"/>
    <w:rsid w:val="0098077F"/>
    <w:rsid w:val="00980C35"/>
    <w:rsid w:val="009837A1"/>
    <w:rsid w:val="009837B1"/>
    <w:rsid w:val="00994E2D"/>
    <w:rsid w:val="00996E68"/>
    <w:rsid w:val="00996EBB"/>
    <w:rsid w:val="009A45BC"/>
    <w:rsid w:val="009A49D9"/>
    <w:rsid w:val="009B36E3"/>
    <w:rsid w:val="009C1250"/>
    <w:rsid w:val="009C33F5"/>
    <w:rsid w:val="009C4C42"/>
    <w:rsid w:val="009C760E"/>
    <w:rsid w:val="009D07F9"/>
    <w:rsid w:val="009D4341"/>
    <w:rsid w:val="009D6EAC"/>
    <w:rsid w:val="009E6314"/>
    <w:rsid w:val="009E65C2"/>
    <w:rsid w:val="009E7619"/>
    <w:rsid w:val="009F4CEB"/>
    <w:rsid w:val="009F6553"/>
    <w:rsid w:val="009F6B07"/>
    <w:rsid w:val="00A0563B"/>
    <w:rsid w:val="00A07590"/>
    <w:rsid w:val="00A07B04"/>
    <w:rsid w:val="00A33695"/>
    <w:rsid w:val="00A33DBA"/>
    <w:rsid w:val="00A43A8C"/>
    <w:rsid w:val="00A5127C"/>
    <w:rsid w:val="00A55927"/>
    <w:rsid w:val="00A63984"/>
    <w:rsid w:val="00A67398"/>
    <w:rsid w:val="00A742E7"/>
    <w:rsid w:val="00A75E7D"/>
    <w:rsid w:val="00A76229"/>
    <w:rsid w:val="00A87D18"/>
    <w:rsid w:val="00A913E7"/>
    <w:rsid w:val="00A9462E"/>
    <w:rsid w:val="00AB4059"/>
    <w:rsid w:val="00AB4388"/>
    <w:rsid w:val="00AB5928"/>
    <w:rsid w:val="00AB5CBE"/>
    <w:rsid w:val="00AC24DC"/>
    <w:rsid w:val="00AC729D"/>
    <w:rsid w:val="00AD0078"/>
    <w:rsid w:val="00AE22F5"/>
    <w:rsid w:val="00AE50AD"/>
    <w:rsid w:val="00AE5C83"/>
    <w:rsid w:val="00B0026F"/>
    <w:rsid w:val="00B02322"/>
    <w:rsid w:val="00B06F0A"/>
    <w:rsid w:val="00B10F0A"/>
    <w:rsid w:val="00B14367"/>
    <w:rsid w:val="00B20638"/>
    <w:rsid w:val="00B21BF4"/>
    <w:rsid w:val="00B236CE"/>
    <w:rsid w:val="00B36058"/>
    <w:rsid w:val="00B406F6"/>
    <w:rsid w:val="00B54023"/>
    <w:rsid w:val="00B5683E"/>
    <w:rsid w:val="00B57CAF"/>
    <w:rsid w:val="00B60084"/>
    <w:rsid w:val="00B74BCA"/>
    <w:rsid w:val="00B801DA"/>
    <w:rsid w:val="00B81FF3"/>
    <w:rsid w:val="00B90034"/>
    <w:rsid w:val="00B913A7"/>
    <w:rsid w:val="00B941A5"/>
    <w:rsid w:val="00BA0BBC"/>
    <w:rsid w:val="00BA613A"/>
    <w:rsid w:val="00BA7299"/>
    <w:rsid w:val="00BC5A58"/>
    <w:rsid w:val="00BD6097"/>
    <w:rsid w:val="00BE1183"/>
    <w:rsid w:val="00BF3B3C"/>
    <w:rsid w:val="00BF5930"/>
    <w:rsid w:val="00C16288"/>
    <w:rsid w:val="00C1787A"/>
    <w:rsid w:val="00C26F63"/>
    <w:rsid w:val="00C27319"/>
    <w:rsid w:val="00C30A1A"/>
    <w:rsid w:val="00C33145"/>
    <w:rsid w:val="00C426FA"/>
    <w:rsid w:val="00C428F9"/>
    <w:rsid w:val="00C43082"/>
    <w:rsid w:val="00C45AF1"/>
    <w:rsid w:val="00C51A09"/>
    <w:rsid w:val="00C53823"/>
    <w:rsid w:val="00C620F1"/>
    <w:rsid w:val="00C62BE1"/>
    <w:rsid w:val="00C650F9"/>
    <w:rsid w:val="00C700F5"/>
    <w:rsid w:val="00C71064"/>
    <w:rsid w:val="00C74127"/>
    <w:rsid w:val="00C85A16"/>
    <w:rsid w:val="00C85B55"/>
    <w:rsid w:val="00C85F21"/>
    <w:rsid w:val="00C868B1"/>
    <w:rsid w:val="00C91973"/>
    <w:rsid w:val="00C94ABC"/>
    <w:rsid w:val="00CA3C5C"/>
    <w:rsid w:val="00CA6CF0"/>
    <w:rsid w:val="00CA6E44"/>
    <w:rsid w:val="00CB3ECF"/>
    <w:rsid w:val="00CB5342"/>
    <w:rsid w:val="00CB6B5A"/>
    <w:rsid w:val="00CC274F"/>
    <w:rsid w:val="00CC34A1"/>
    <w:rsid w:val="00CC35AE"/>
    <w:rsid w:val="00CC4481"/>
    <w:rsid w:val="00CD7BD0"/>
    <w:rsid w:val="00CE14DE"/>
    <w:rsid w:val="00CF214A"/>
    <w:rsid w:val="00CF39EC"/>
    <w:rsid w:val="00D003A3"/>
    <w:rsid w:val="00D04825"/>
    <w:rsid w:val="00D07DEC"/>
    <w:rsid w:val="00D12059"/>
    <w:rsid w:val="00D12E3E"/>
    <w:rsid w:val="00D1552E"/>
    <w:rsid w:val="00D17A5F"/>
    <w:rsid w:val="00D20769"/>
    <w:rsid w:val="00D22B6E"/>
    <w:rsid w:val="00D237C4"/>
    <w:rsid w:val="00D311BD"/>
    <w:rsid w:val="00D41E1D"/>
    <w:rsid w:val="00D565E0"/>
    <w:rsid w:val="00D66B17"/>
    <w:rsid w:val="00D80B89"/>
    <w:rsid w:val="00D80E98"/>
    <w:rsid w:val="00D8469E"/>
    <w:rsid w:val="00D877CB"/>
    <w:rsid w:val="00D96124"/>
    <w:rsid w:val="00D97765"/>
    <w:rsid w:val="00DA2863"/>
    <w:rsid w:val="00DA420C"/>
    <w:rsid w:val="00DA4222"/>
    <w:rsid w:val="00DA486D"/>
    <w:rsid w:val="00DA518D"/>
    <w:rsid w:val="00DB11EF"/>
    <w:rsid w:val="00DB2982"/>
    <w:rsid w:val="00DB368D"/>
    <w:rsid w:val="00DB3CCE"/>
    <w:rsid w:val="00DB6FF3"/>
    <w:rsid w:val="00DC33CB"/>
    <w:rsid w:val="00DD50A6"/>
    <w:rsid w:val="00DD5730"/>
    <w:rsid w:val="00DD6C57"/>
    <w:rsid w:val="00DE5245"/>
    <w:rsid w:val="00DF5F8E"/>
    <w:rsid w:val="00E17A6E"/>
    <w:rsid w:val="00E27B55"/>
    <w:rsid w:val="00E33FA3"/>
    <w:rsid w:val="00E34346"/>
    <w:rsid w:val="00E53E25"/>
    <w:rsid w:val="00E570CC"/>
    <w:rsid w:val="00E57BDA"/>
    <w:rsid w:val="00E64195"/>
    <w:rsid w:val="00E6598B"/>
    <w:rsid w:val="00E65E00"/>
    <w:rsid w:val="00E66027"/>
    <w:rsid w:val="00E74A14"/>
    <w:rsid w:val="00E926FA"/>
    <w:rsid w:val="00E9585B"/>
    <w:rsid w:val="00EA41E9"/>
    <w:rsid w:val="00EA5B25"/>
    <w:rsid w:val="00EC25A8"/>
    <w:rsid w:val="00EC34EA"/>
    <w:rsid w:val="00EC3522"/>
    <w:rsid w:val="00ED55BB"/>
    <w:rsid w:val="00ED6001"/>
    <w:rsid w:val="00EE0030"/>
    <w:rsid w:val="00EE1511"/>
    <w:rsid w:val="00EE1BF5"/>
    <w:rsid w:val="00EF2F73"/>
    <w:rsid w:val="00EF3144"/>
    <w:rsid w:val="00EF35CB"/>
    <w:rsid w:val="00EF7837"/>
    <w:rsid w:val="00F07D42"/>
    <w:rsid w:val="00F134C8"/>
    <w:rsid w:val="00F16533"/>
    <w:rsid w:val="00F2084D"/>
    <w:rsid w:val="00F24CF7"/>
    <w:rsid w:val="00F30BDA"/>
    <w:rsid w:val="00F33217"/>
    <w:rsid w:val="00F42317"/>
    <w:rsid w:val="00F44F66"/>
    <w:rsid w:val="00F468F5"/>
    <w:rsid w:val="00F47CEE"/>
    <w:rsid w:val="00F5519A"/>
    <w:rsid w:val="00F55A01"/>
    <w:rsid w:val="00F62A33"/>
    <w:rsid w:val="00F669DE"/>
    <w:rsid w:val="00F757F1"/>
    <w:rsid w:val="00F8203E"/>
    <w:rsid w:val="00FA0AC2"/>
    <w:rsid w:val="00FB057B"/>
    <w:rsid w:val="00FB15C4"/>
    <w:rsid w:val="00FB7FFB"/>
    <w:rsid w:val="00FC2752"/>
    <w:rsid w:val="00FD277C"/>
    <w:rsid w:val="00FE31FC"/>
    <w:rsid w:val="00FE65E6"/>
    <w:rsid w:val="00FE75D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d31145,#fffddf,#ffecd6"/>
    </o:shapedefaults>
    <o:shapelayout v:ext="edit">
      <o:idmap v:ext="edit" data="1"/>
    </o:shapelayout>
  </w:shapeDefaults>
  <w:decimalSymbol w:val="."/>
  <w:listSeparator w:val=","/>
  <w15:chartTrackingRefBased/>
  <w15:docId w15:val="{BE740981-4D05-41C4-803B-2117CFA7C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0"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9028CB"/>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qFormat/>
    <w:rsid w:val="007468E3"/>
    <w:pPr>
      <w:keepNext/>
      <w:numPr>
        <w:numId w:val="4"/>
      </w:numPr>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A07590"/>
    <w:pPr>
      <w:keepNext/>
      <w:numPr>
        <w:ilvl w:val="1"/>
        <w:numId w:val="4"/>
      </w:numPr>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0A1E1B"/>
    <w:pPr>
      <w:keepNext/>
      <w:keepLines/>
      <w:numPr>
        <w:ilvl w:val="2"/>
        <w:numId w:val="4"/>
      </w:numPr>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ilvl w:val="3"/>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numPr>
        <w:ilvl w:val="4"/>
        <w:numId w:val="4"/>
      </w:num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numPr>
        <w:ilvl w:val="5"/>
        <w:numId w:val="4"/>
      </w:numPr>
      <w:shd w:val="pct10" w:color="auto" w:fill="auto"/>
      <w:autoSpaceDE/>
      <w:autoSpaceDN/>
      <w:adjustRightInd/>
      <w:spacing w:after="0" w:line="360" w:lineRule="auto"/>
      <w:ind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numPr>
        <w:ilvl w:val="6"/>
        <w:numId w:val="4"/>
      </w:numPr>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numPr>
        <w:ilvl w:val="7"/>
        <w:numId w:val="4"/>
      </w:num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numPr>
        <w:ilvl w:val="8"/>
        <w:numId w:val="4"/>
      </w:numPr>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45FB"/>
    <w:rPr>
      <w:rFonts w:eastAsia="Times New Roman" w:cs="Helvetica-Light"/>
      <w:b/>
      <w:bCs/>
      <w:sz w:val="40"/>
      <w:szCs w:val="28"/>
    </w:rPr>
  </w:style>
  <w:style w:type="character" w:customStyle="1" w:styleId="Heading2Char">
    <w:name w:val="Heading 2 Char"/>
    <w:link w:val="Heading2"/>
    <w:rsid w:val="002345FB"/>
    <w:rPr>
      <w:rFonts w:eastAsia="Times New Roman" w:cs="Helvetica-Light"/>
      <w:b/>
      <w:bCs/>
      <w:color w:val="000000"/>
      <w:sz w:val="32"/>
      <w:szCs w:val="26"/>
    </w:rPr>
  </w:style>
  <w:style w:type="character" w:customStyle="1" w:styleId="Heading3Char">
    <w:name w:val="Heading 3 Char"/>
    <w:link w:val="Heading3"/>
    <w:rsid w:val="002345FB"/>
    <w:rPr>
      <w:rFonts w:eastAsia="Times New Roman"/>
      <w:b/>
      <w:bCs/>
      <w:i/>
      <w:sz w:val="28"/>
      <w:szCs w:val="28"/>
      <w:lang w:eastAsia="en-US"/>
    </w:rPr>
  </w:style>
  <w:style w:type="character" w:customStyle="1" w:styleId="Heading4Char">
    <w:name w:val="Heading 4 Char"/>
    <w:link w:val="Heading4"/>
    <w:rsid w:val="002345FB"/>
    <w:rPr>
      <w:rFonts w:eastAsia="Times New Roman" w:cs="Arial"/>
      <w:b/>
      <w:bCs/>
      <w:sz w:val="22"/>
      <w:szCs w:val="22"/>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hd w:val="pct10" w:color="auto" w:fill="auto"/>
    </w:rPr>
  </w:style>
  <w:style w:type="character" w:customStyle="1" w:styleId="Heading7Char">
    <w:name w:val="Heading 7 Char"/>
    <w:link w:val="Heading7"/>
    <w:semiHidden/>
    <w:rsid w:val="0001341B"/>
    <w:rPr>
      <w:rFonts w:eastAsia="Times New Roman"/>
      <w:b/>
      <w:sz w:val="24"/>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lang w:eastAsia="en-US"/>
    </w:rPr>
  </w:style>
  <w:style w:type="paragraph" w:styleId="Header">
    <w:name w:val="header"/>
    <w:basedOn w:val="Normal"/>
    <w:link w:val="HeaderChar"/>
    <w:uiPriority w:val="2"/>
    <w:rsid w:val="00846AEA"/>
    <w:pPr>
      <w:tabs>
        <w:tab w:val="center" w:pos="4320"/>
        <w:tab w:val="right" w:pos="8640"/>
      </w:tabs>
      <w:spacing w:after="0"/>
    </w:pPr>
    <w:rPr>
      <w:color w:val="FFFFFF"/>
      <w:sz w:val="22"/>
      <w:szCs w:val="22"/>
    </w:rPr>
  </w:style>
  <w:style w:type="character" w:customStyle="1" w:styleId="HeaderChar">
    <w:name w:val="Header Char"/>
    <w:link w:val="Header"/>
    <w:uiPriority w:val="2"/>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2"/>
    <w:rsid w:val="00EA41E9"/>
    <w:pPr>
      <w:spacing w:after="0"/>
    </w:pPr>
    <w:rPr>
      <w:sz w:val="20"/>
      <w:szCs w:val="20"/>
    </w:rPr>
  </w:style>
  <w:style w:type="character" w:customStyle="1" w:styleId="FootnoteTextChar">
    <w:name w:val="Footnote Text Char"/>
    <w:link w:val="FootnoteText"/>
    <w:uiPriority w:val="2"/>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2"/>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numPr>
        <w:numId w:val="2"/>
      </w:numPr>
      <w:tabs>
        <w:tab w:val="left" w:pos="567"/>
      </w:tabs>
      <w:spacing w:before="200" w:after="120"/>
      <w:ind w:left="567" w:hanging="567"/>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link w:val="BodyText"/>
    <w:rsid w:val="009028CB"/>
    <w:rPr>
      <w:rFonts w:eastAsia="Times New Roman" w:cs="Helvetica-Light"/>
      <w:sz w:val="24"/>
      <w:szCs w:val="24"/>
    </w:rPr>
  </w:style>
  <w:style w:type="paragraph" w:styleId="BalloonText">
    <w:name w:val="Balloon Text"/>
    <w:basedOn w:val="Normal"/>
    <w:link w:val="BalloonTextChar"/>
    <w:uiPriority w:val="99"/>
    <w:semiHidden/>
    <w:unhideWhenUsed/>
    <w:rsid w:val="005546BD"/>
    <w:pPr>
      <w:spacing w:after="0"/>
    </w:pPr>
    <w:rPr>
      <w:rFonts w:ascii="Tahoma" w:hAnsi="Tahoma" w:cs="Tahoma"/>
      <w:sz w:val="16"/>
      <w:szCs w:val="16"/>
    </w:rPr>
  </w:style>
  <w:style w:type="character" w:customStyle="1" w:styleId="BalloonTextChar">
    <w:name w:val="Balloon Text Char"/>
    <w:link w:val="BalloonText"/>
    <w:uiPriority w:val="99"/>
    <w:semiHidden/>
    <w:rsid w:val="005546BD"/>
    <w:rPr>
      <w:rFonts w:ascii="Tahoma" w:eastAsia="Calibri" w:hAnsi="Tahoma" w:cs="Tahoma"/>
      <w:color w:val="000000"/>
      <w:sz w:val="16"/>
      <w:szCs w:val="16"/>
      <w:lang w:eastAsia="en-US"/>
    </w:rPr>
  </w:style>
  <w:style w:type="paragraph" w:customStyle="1" w:styleId="BodyText1">
    <w:name w:val="Body Text 1"/>
    <w:basedOn w:val="Normal"/>
    <w:link w:val="BodyText1Char"/>
    <w:qFormat/>
    <w:rsid w:val="001553A9"/>
    <w:pPr>
      <w:autoSpaceDE/>
      <w:autoSpaceDN/>
      <w:adjustRightInd/>
      <w:spacing w:before="60"/>
      <w:jc w:val="left"/>
    </w:pPr>
    <w:rPr>
      <w:rFonts w:eastAsia="Cambria" w:cs="Times New Roman"/>
      <w:szCs w:val="28"/>
    </w:rPr>
  </w:style>
  <w:style w:type="character" w:customStyle="1" w:styleId="BodyText1Char">
    <w:name w:val="Body Text 1 Char"/>
    <w:basedOn w:val="DefaultParagraphFont"/>
    <w:link w:val="BodyText1"/>
    <w:rsid w:val="001553A9"/>
    <w:rPr>
      <w:color w:val="000000"/>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737870">
      <w:bodyDiv w:val="1"/>
      <w:marLeft w:val="0"/>
      <w:marRight w:val="0"/>
      <w:marTop w:val="0"/>
      <w:marBottom w:val="0"/>
      <w:divBdr>
        <w:top w:val="none" w:sz="0" w:space="0" w:color="auto"/>
        <w:left w:val="none" w:sz="0" w:space="0" w:color="auto"/>
        <w:bottom w:val="none" w:sz="0" w:space="0" w:color="auto"/>
        <w:right w:val="none" w:sz="0" w:space="0" w:color="auto"/>
      </w:divBdr>
    </w:div>
    <w:div w:id="586160221">
      <w:bodyDiv w:val="1"/>
      <w:marLeft w:val="0"/>
      <w:marRight w:val="0"/>
      <w:marTop w:val="0"/>
      <w:marBottom w:val="0"/>
      <w:divBdr>
        <w:top w:val="none" w:sz="0" w:space="0" w:color="auto"/>
        <w:left w:val="none" w:sz="0" w:space="0" w:color="auto"/>
        <w:bottom w:val="none" w:sz="0" w:space="0" w:color="auto"/>
        <w:right w:val="none" w:sz="0" w:space="0" w:color="auto"/>
      </w:divBdr>
    </w:div>
    <w:div w:id="700326676">
      <w:bodyDiv w:val="1"/>
      <w:marLeft w:val="0"/>
      <w:marRight w:val="0"/>
      <w:marTop w:val="0"/>
      <w:marBottom w:val="0"/>
      <w:divBdr>
        <w:top w:val="none" w:sz="0" w:space="0" w:color="auto"/>
        <w:left w:val="none" w:sz="0" w:space="0" w:color="auto"/>
        <w:bottom w:val="none" w:sz="0" w:space="0" w:color="auto"/>
        <w:right w:val="none" w:sz="0" w:space="0" w:color="auto"/>
      </w:divBdr>
    </w:div>
    <w:div w:id="800921063">
      <w:bodyDiv w:val="1"/>
      <w:marLeft w:val="0"/>
      <w:marRight w:val="0"/>
      <w:marTop w:val="0"/>
      <w:marBottom w:val="0"/>
      <w:divBdr>
        <w:top w:val="none" w:sz="0" w:space="0" w:color="auto"/>
        <w:left w:val="none" w:sz="0" w:space="0" w:color="auto"/>
        <w:bottom w:val="none" w:sz="0" w:space="0" w:color="auto"/>
        <w:right w:val="none" w:sz="0" w:space="0" w:color="auto"/>
      </w:divBdr>
    </w:div>
    <w:div w:id="985085781">
      <w:bodyDiv w:val="1"/>
      <w:marLeft w:val="0"/>
      <w:marRight w:val="0"/>
      <w:marTop w:val="0"/>
      <w:marBottom w:val="0"/>
      <w:divBdr>
        <w:top w:val="none" w:sz="0" w:space="0" w:color="auto"/>
        <w:left w:val="none" w:sz="0" w:space="0" w:color="auto"/>
        <w:bottom w:val="none" w:sz="0" w:space="0" w:color="auto"/>
        <w:right w:val="none" w:sz="0" w:space="0" w:color="auto"/>
      </w:divBdr>
    </w:div>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174341951">
      <w:bodyDiv w:val="1"/>
      <w:marLeft w:val="0"/>
      <w:marRight w:val="0"/>
      <w:marTop w:val="0"/>
      <w:marBottom w:val="0"/>
      <w:divBdr>
        <w:top w:val="none" w:sz="0" w:space="0" w:color="auto"/>
        <w:left w:val="none" w:sz="0" w:space="0" w:color="auto"/>
        <w:bottom w:val="none" w:sz="0" w:space="0" w:color="auto"/>
        <w:right w:val="none" w:sz="0" w:space="0" w:color="auto"/>
      </w:divBdr>
    </w:div>
    <w:div w:id="1199859584">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 w:id="1782645406">
      <w:bodyDiv w:val="1"/>
      <w:marLeft w:val="0"/>
      <w:marRight w:val="0"/>
      <w:marTop w:val="0"/>
      <w:marBottom w:val="0"/>
      <w:divBdr>
        <w:top w:val="none" w:sz="0" w:space="0" w:color="auto"/>
        <w:left w:val="none" w:sz="0" w:space="0" w:color="auto"/>
        <w:bottom w:val="none" w:sz="0" w:space="0" w:color="auto"/>
        <w:right w:val="none" w:sz="0" w:space="0" w:color="auto"/>
      </w:divBdr>
    </w:div>
    <w:div w:id="2053339966">
      <w:bodyDiv w:val="1"/>
      <w:marLeft w:val="0"/>
      <w:marRight w:val="0"/>
      <w:marTop w:val="0"/>
      <w:marBottom w:val="0"/>
      <w:divBdr>
        <w:top w:val="none" w:sz="0" w:space="0" w:color="auto"/>
        <w:left w:val="none" w:sz="0" w:space="0" w:color="auto"/>
        <w:bottom w:val="none" w:sz="0" w:space="0" w:color="auto"/>
        <w:right w:val="none" w:sz="0" w:space="0" w:color="auto"/>
      </w:divBdr>
    </w:div>
    <w:div w:id="21393727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hyperlink" Target="http://www.lancashire.gov.uk/lancashire-insight" TargetMode="External"/><Relationship Id="rId17" Type="http://schemas.openxmlformats.org/officeDocument/2006/relationships/chart" Target="charts/chart5.xml"/><Relationship Id="rId25"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orpData02\OCE\OCERestrictedPermissions\Business%20Intelligence\Corporate%20strategy%20and%20performance\Hospital%20statistics\DToC\DToC%20monthly%20reports\business.information@lancashire.gov.uk" TargetMode="External"/><Relationship Id="rId24" Type="http://schemas.openxmlformats.org/officeDocument/2006/relationships/chart" Target="charts/chart1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10" Type="http://schemas.openxmlformats.org/officeDocument/2006/relationships/hyperlink" Target="https://www.england.nhs.uk/statistics/statistical-work-areas/delayed-transfers-of-care/" TargetMode="External"/><Relationship Id="rId19" Type="http://schemas.openxmlformats.org/officeDocument/2006/relationships/chart" Target="charts/chart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Lancashire DToC Total Delayed Days 2014/15 to 2017/18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'prev yr comparisons'!$A$47</c:f>
              <c:strCache>
                <c:ptCount val="1"/>
                <c:pt idx="0">
                  <c:v>2014/15</c:v>
                </c:pt>
              </c:strCache>
            </c:strRef>
          </c:tx>
          <c:spPr>
            <a:solidFill>
              <a:schemeClr val="accent1"/>
            </a:solidFill>
            <a:ln>
              <a:noFill/>
            </a:ln>
            <a:effectLst/>
          </c:spPr>
          <c:invertIfNegative val="0"/>
          <c:cat>
            <c:strRef>
              <c:f>'prev yr comparisons'!$B$46:$M$46</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'prev yr comparisons'!$B$47:$M$47</c:f>
              <c:numCache>
                <c:formatCode>General</c:formatCode>
                <c:ptCount val="12"/>
                <c:pt idx="0">
                  <c:v>2481</c:v>
                </c:pt>
                <c:pt idx="1">
                  <c:v>3093</c:v>
                </c:pt>
                <c:pt idx="2">
                  <c:v>3762</c:v>
                </c:pt>
                <c:pt idx="3">
                  <c:v>3394</c:v>
                </c:pt>
                <c:pt idx="4">
                  <c:v>4126</c:v>
                </c:pt>
                <c:pt idx="5">
                  <c:v>3934</c:v>
                </c:pt>
                <c:pt idx="6">
                  <c:v>4164</c:v>
                </c:pt>
                <c:pt idx="7">
                  <c:v>3288</c:v>
                </c:pt>
                <c:pt idx="8">
                  <c:v>3268</c:v>
                </c:pt>
                <c:pt idx="9">
                  <c:v>3268</c:v>
                </c:pt>
                <c:pt idx="10">
                  <c:v>3197</c:v>
                </c:pt>
                <c:pt idx="11">
                  <c:v>3274</c:v>
                </c:pt>
              </c:numCache>
            </c:numRef>
          </c:val>
          <c:extLst>
            <c:ext xmlns:c16="http://schemas.microsoft.com/office/drawing/2014/chart" uri="{C3380CC4-5D6E-409C-BE32-E72D297353CC}">
              <c16:uniqueId val="{00000000-42A0-40A2-B3B6-BA79537B0243}"/>
            </c:ext>
          </c:extLst>
        </c:ser>
        <c:ser>
          <c:idx val="1"/>
          <c:order val="1"/>
          <c:tx>
            <c:strRef>
              <c:f>'prev yr comparisons'!$A$48</c:f>
              <c:strCache>
                <c:ptCount val="1"/>
                <c:pt idx="0">
                  <c:v>2015/16</c:v>
                </c:pt>
              </c:strCache>
            </c:strRef>
          </c:tx>
          <c:spPr>
            <a:solidFill>
              <a:schemeClr val="accent2"/>
            </a:solidFill>
            <a:ln>
              <a:noFill/>
            </a:ln>
            <a:effectLst/>
          </c:spPr>
          <c:invertIfNegative val="0"/>
          <c:cat>
            <c:strRef>
              <c:f>'prev yr comparisons'!$B$46:$M$46</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'prev yr comparisons'!$B$48:$M$48</c:f>
              <c:numCache>
                <c:formatCode>General</c:formatCode>
                <c:ptCount val="12"/>
                <c:pt idx="0">
                  <c:v>2698</c:v>
                </c:pt>
                <c:pt idx="1">
                  <c:v>3043</c:v>
                </c:pt>
                <c:pt idx="2">
                  <c:v>3598</c:v>
                </c:pt>
                <c:pt idx="3">
                  <c:v>3854</c:v>
                </c:pt>
                <c:pt idx="4">
                  <c:v>3939</c:v>
                </c:pt>
                <c:pt idx="5">
                  <c:v>3943</c:v>
                </c:pt>
                <c:pt idx="6">
                  <c:v>3823</c:v>
                </c:pt>
                <c:pt idx="7">
                  <c:v>3293</c:v>
                </c:pt>
                <c:pt idx="8">
                  <c:v>4093</c:v>
                </c:pt>
                <c:pt idx="9">
                  <c:v>3440</c:v>
                </c:pt>
                <c:pt idx="10">
                  <c:v>3732</c:v>
                </c:pt>
                <c:pt idx="11">
                  <c:v>4617</c:v>
                </c:pt>
              </c:numCache>
            </c:numRef>
          </c:val>
          <c:extLst>
            <c:ext xmlns:c16="http://schemas.microsoft.com/office/drawing/2014/chart" uri="{C3380CC4-5D6E-409C-BE32-E72D297353CC}">
              <c16:uniqueId val="{00000001-42A0-40A2-B3B6-BA79537B0243}"/>
            </c:ext>
          </c:extLst>
        </c:ser>
        <c:ser>
          <c:idx val="2"/>
          <c:order val="2"/>
          <c:tx>
            <c:strRef>
              <c:f>'prev yr comparisons'!$A$49</c:f>
              <c:strCache>
                <c:ptCount val="1"/>
                <c:pt idx="0">
                  <c:v>2016/17</c:v>
                </c:pt>
              </c:strCache>
            </c:strRef>
          </c:tx>
          <c:spPr>
            <a:solidFill>
              <a:schemeClr val="accent3"/>
            </a:solidFill>
            <a:ln>
              <a:noFill/>
            </a:ln>
            <a:effectLst/>
          </c:spPr>
          <c:invertIfNegative val="0"/>
          <c:cat>
            <c:strRef>
              <c:f>'prev yr comparisons'!$B$46:$M$46</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'prev yr comparisons'!$B$49:$M$49</c:f>
              <c:numCache>
                <c:formatCode>General</c:formatCode>
                <c:ptCount val="12"/>
                <c:pt idx="0">
                  <c:v>4105</c:v>
                </c:pt>
                <c:pt idx="1">
                  <c:v>3707</c:v>
                </c:pt>
                <c:pt idx="2">
                  <c:v>3553</c:v>
                </c:pt>
                <c:pt idx="3">
                  <c:v>3577</c:v>
                </c:pt>
                <c:pt idx="4">
                  <c:v>4024</c:v>
                </c:pt>
                <c:pt idx="5">
                  <c:v>4958</c:v>
                </c:pt>
                <c:pt idx="6">
                  <c:v>4701</c:v>
                </c:pt>
                <c:pt idx="7">
                  <c:v>4475</c:v>
                </c:pt>
                <c:pt idx="8">
                  <c:v>5006</c:v>
                </c:pt>
                <c:pt idx="9">
                  <c:v>4911</c:v>
                </c:pt>
                <c:pt idx="10">
                  <c:v>4055</c:v>
                </c:pt>
                <c:pt idx="11">
                  <c:v>4565</c:v>
                </c:pt>
              </c:numCache>
            </c:numRef>
          </c:val>
          <c:extLst>
            <c:ext xmlns:c16="http://schemas.microsoft.com/office/drawing/2014/chart" uri="{C3380CC4-5D6E-409C-BE32-E72D297353CC}">
              <c16:uniqueId val="{00000002-42A0-40A2-B3B6-BA79537B0243}"/>
            </c:ext>
          </c:extLst>
        </c:ser>
        <c:ser>
          <c:idx val="3"/>
          <c:order val="3"/>
          <c:tx>
            <c:strRef>
              <c:f>'prev yr comparisons'!$A$50</c:f>
              <c:strCache>
                <c:ptCount val="1"/>
                <c:pt idx="0">
                  <c:v>2017/18</c:v>
                </c:pt>
              </c:strCache>
            </c:strRef>
          </c:tx>
          <c:spPr>
            <a:solidFill>
              <a:schemeClr val="accent4"/>
            </a:solidFill>
            <a:ln>
              <a:noFill/>
            </a:ln>
            <a:effectLst/>
          </c:spPr>
          <c:invertIfNegative val="0"/>
          <c:cat>
            <c:strRef>
              <c:f>'prev yr comparisons'!$B$46:$M$46</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'prev yr comparisons'!$B$50:$M$50</c:f>
              <c:numCache>
                <c:formatCode>General</c:formatCode>
                <c:ptCount val="12"/>
                <c:pt idx="0">
                  <c:v>4609</c:v>
                </c:pt>
                <c:pt idx="1">
                  <c:v>4798</c:v>
                </c:pt>
                <c:pt idx="2">
                  <c:v>4643</c:v>
                </c:pt>
                <c:pt idx="3">
                  <c:v>4897</c:v>
                </c:pt>
                <c:pt idx="4">
                  <c:v>4383</c:v>
                </c:pt>
                <c:pt idx="5">
                  <c:v>4511</c:v>
                </c:pt>
                <c:pt idx="6">
                  <c:v>4709</c:v>
                </c:pt>
                <c:pt idx="7">
                  <c:v>4547</c:v>
                </c:pt>
              </c:numCache>
            </c:numRef>
          </c:val>
          <c:extLst>
            <c:ext xmlns:c16="http://schemas.microsoft.com/office/drawing/2014/chart" uri="{C3380CC4-5D6E-409C-BE32-E72D297353CC}">
              <c16:uniqueId val="{00000003-42A0-40A2-B3B6-BA79537B0243}"/>
            </c:ext>
          </c:extLst>
        </c:ser>
        <c:dLbls>
          <c:showLegendKey val="0"/>
          <c:showVal val="0"/>
          <c:showCatName val="0"/>
          <c:showSerName val="0"/>
          <c:showPercent val="0"/>
          <c:showBubbleSize val="0"/>
        </c:dLbls>
        <c:gapWidth val="219"/>
        <c:overlap val="-27"/>
        <c:axId val="96503584"/>
        <c:axId val="96504368"/>
      </c:barChart>
      <c:catAx>
        <c:axId val="9650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04368"/>
        <c:crosses val="autoZero"/>
        <c:auto val="1"/>
        <c:lblAlgn val="ctr"/>
        <c:lblOffset val="100"/>
        <c:noMultiLvlLbl val="0"/>
      </c:catAx>
      <c:valAx>
        <c:axId val="96504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03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2015_16 to 2017_18 revised1.xlsx]comparators (3)!PivotTable2</c:name>
    <c:fmtId val="-1"/>
  </c:pivotSource>
  <c:chart>
    <c:title>
      <c:tx>
        <c:rich>
          <a:bodyPr/>
          <a:lstStyle/>
          <a:p>
            <a:pPr>
              <a:defRPr/>
            </a:pPr>
            <a:r>
              <a:rPr lang="en-GB" sz="1200" b="1" i="0" baseline="0">
                <a:effectLst/>
              </a:rPr>
              <a:t>Nov-17 Provider delayed days for Lancashire residents</a:t>
            </a:r>
            <a:endParaRPr lang="en-GB" sz="1200">
              <a:effectLst/>
            </a:endParaRPr>
          </a:p>
        </c:rich>
      </c:tx>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marker>
          <c:symbol val="none"/>
        </c:marker>
      </c:pivotFmt>
      <c:pivotFmt>
        <c:idx val="102"/>
        <c:marker>
          <c:symbol val="none"/>
        </c:marker>
      </c:pivotFmt>
      <c:pivotFmt>
        <c:idx val="103"/>
        <c:marker>
          <c:symbol val="none"/>
        </c:marker>
      </c:pivotFmt>
      <c:pivotFmt>
        <c:idx val="104"/>
        <c:marker>
          <c:symbol val="none"/>
        </c:marker>
      </c:pivotFmt>
      <c:pivotFmt>
        <c:idx val="105"/>
        <c:marker>
          <c:symbol val="none"/>
        </c:marker>
      </c:pivotFmt>
    </c:pivotFmts>
    <c:plotArea>
      <c:layout/>
      <c:barChart>
        <c:barDir val="bar"/>
        <c:grouping val="clustered"/>
        <c:varyColors val="0"/>
        <c:ser>
          <c:idx val="0"/>
          <c:order val="0"/>
          <c:tx>
            <c:strRef>
              <c:f>'comparators (3)'!$B$37</c:f>
              <c:strCache>
                <c:ptCount val="1"/>
                <c:pt idx="0">
                  <c:v>Sum of NHS Days</c:v>
                </c:pt>
              </c:strCache>
            </c:strRef>
          </c:tx>
          <c:invertIfNegative val="0"/>
          <c:cat>
            <c:strRef>
              <c:f>'comparators (3)'!$A$38:$A$54</c:f>
              <c:strCache>
                <c:ptCount val="16"/>
                <c:pt idx="0">
                  <c:v>AIREDALE NHS FOUNDATION TRUST</c:v>
                </c:pt>
                <c:pt idx="1">
                  <c:v>BLACKPOOL TEACHING HOSPITALS NHS FOUNDATION TRUST</c:v>
                </c:pt>
                <c:pt idx="2">
                  <c:v>EAST LANCASHIRE HOSPITALS NHS TRUST</c:v>
                </c:pt>
                <c:pt idx="3">
                  <c:v>GUY'S AND ST THOMAS' NHS FOUNDATION TRUST</c:v>
                </c:pt>
                <c:pt idx="4">
                  <c:v>LANCASHIRE CARE NHS FOUNDATION TRUST</c:v>
                </c:pt>
                <c:pt idx="5">
                  <c:v>LANCASHIRE TEACHING HOSPITALS NHS FOUNDATION TRUST</c:v>
                </c:pt>
                <c:pt idx="6">
                  <c:v>LIVERPOOL HEART AND CHEST HOSPITAL NHS FOUNDATION TRUST</c:v>
                </c:pt>
                <c:pt idx="7">
                  <c:v>MERSEY CARE NHS FOUNDATION TRUST</c:v>
                </c:pt>
                <c:pt idx="8">
                  <c:v>PENNINE ACUTE HOSPITALS NHS TRUST</c:v>
                </c:pt>
                <c:pt idx="9">
                  <c:v>SALFORD ROYAL NHS FOUNDATION TRUST</c:v>
                </c:pt>
                <c:pt idx="10">
                  <c:v>SOUTHPORT AND ORMSKIRK HOSPITAL NHS TRUST</c:v>
                </c:pt>
                <c:pt idx="11">
                  <c:v>THE WALTON CENTRE NHS FOUNDATION TRUST</c:v>
                </c:pt>
                <c:pt idx="12">
                  <c:v>UNIVERSITY HOSPITALS OF MORECAMBE BAY NHS FOUNDATION TRUST</c:v>
                </c:pt>
                <c:pt idx="13">
                  <c:v>WARRINGTON AND HALTON HOSPITALS NHS FOUNDATION TRUST</c:v>
                </c:pt>
                <c:pt idx="14">
                  <c:v>WORCESTERSHIRE ACUTE HOSPITALS NHS TRUST</c:v>
                </c:pt>
                <c:pt idx="15">
                  <c:v>WRIGHTINGTON, WIGAN AND LEIGH NHS FOUNDATION TRUST</c:v>
                </c:pt>
              </c:strCache>
            </c:strRef>
          </c:cat>
          <c:val>
            <c:numRef>
              <c:f>'comparators (3)'!$B$38:$B$54</c:f>
              <c:numCache>
                <c:formatCode>General</c:formatCode>
                <c:ptCount val="16"/>
                <c:pt idx="0">
                  <c:v>26</c:v>
                </c:pt>
                <c:pt idx="1">
                  <c:v>202</c:v>
                </c:pt>
                <c:pt idx="2">
                  <c:v>376</c:v>
                </c:pt>
                <c:pt idx="3">
                  <c:v>0</c:v>
                </c:pt>
                <c:pt idx="4">
                  <c:v>76</c:v>
                </c:pt>
                <c:pt idx="5">
                  <c:v>1044</c:v>
                </c:pt>
                <c:pt idx="6">
                  <c:v>5</c:v>
                </c:pt>
                <c:pt idx="7">
                  <c:v>0</c:v>
                </c:pt>
                <c:pt idx="8">
                  <c:v>0</c:v>
                </c:pt>
                <c:pt idx="9">
                  <c:v>30</c:v>
                </c:pt>
                <c:pt idx="10">
                  <c:v>83</c:v>
                </c:pt>
                <c:pt idx="11">
                  <c:v>2</c:v>
                </c:pt>
                <c:pt idx="12">
                  <c:v>327</c:v>
                </c:pt>
                <c:pt idx="13">
                  <c:v>11</c:v>
                </c:pt>
                <c:pt idx="14">
                  <c:v>24</c:v>
                </c:pt>
                <c:pt idx="15">
                  <c:v>10</c:v>
                </c:pt>
              </c:numCache>
            </c:numRef>
          </c:val>
          <c:extLst>
            <c:ext xmlns:c16="http://schemas.microsoft.com/office/drawing/2014/chart" uri="{C3380CC4-5D6E-409C-BE32-E72D297353CC}">
              <c16:uniqueId val="{00000000-215E-4A08-A456-94605A06E4C6}"/>
            </c:ext>
          </c:extLst>
        </c:ser>
        <c:ser>
          <c:idx val="1"/>
          <c:order val="1"/>
          <c:tx>
            <c:strRef>
              <c:f>'comparators (3)'!$C$37</c:f>
              <c:strCache>
                <c:ptCount val="1"/>
                <c:pt idx="0">
                  <c:v>Sum of Social Care Days</c:v>
                </c:pt>
              </c:strCache>
            </c:strRef>
          </c:tx>
          <c:invertIfNegative val="0"/>
          <c:cat>
            <c:strRef>
              <c:f>'comparators (3)'!$A$38:$A$54</c:f>
              <c:strCache>
                <c:ptCount val="16"/>
                <c:pt idx="0">
                  <c:v>AIREDALE NHS FOUNDATION TRUST</c:v>
                </c:pt>
                <c:pt idx="1">
                  <c:v>BLACKPOOL TEACHING HOSPITALS NHS FOUNDATION TRUST</c:v>
                </c:pt>
                <c:pt idx="2">
                  <c:v>EAST LANCASHIRE HOSPITALS NHS TRUST</c:v>
                </c:pt>
                <c:pt idx="3">
                  <c:v>GUY'S AND ST THOMAS' NHS FOUNDATION TRUST</c:v>
                </c:pt>
                <c:pt idx="4">
                  <c:v>LANCASHIRE CARE NHS FOUNDATION TRUST</c:v>
                </c:pt>
                <c:pt idx="5">
                  <c:v>LANCASHIRE TEACHING HOSPITALS NHS FOUNDATION TRUST</c:v>
                </c:pt>
                <c:pt idx="6">
                  <c:v>LIVERPOOL HEART AND CHEST HOSPITAL NHS FOUNDATION TRUST</c:v>
                </c:pt>
                <c:pt idx="7">
                  <c:v>MERSEY CARE NHS FOUNDATION TRUST</c:v>
                </c:pt>
                <c:pt idx="8">
                  <c:v>PENNINE ACUTE HOSPITALS NHS TRUST</c:v>
                </c:pt>
                <c:pt idx="9">
                  <c:v>SALFORD ROYAL NHS FOUNDATION TRUST</c:v>
                </c:pt>
                <c:pt idx="10">
                  <c:v>SOUTHPORT AND ORMSKIRK HOSPITAL NHS TRUST</c:v>
                </c:pt>
                <c:pt idx="11">
                  <c:v>THE WALTON CENTRE NHS FOUNDATION TRUST</c:v>
                </c:pt>
                <c:pt idx="12">
                  <c:v>UNIVERSITY HOSPITALS OF MORECAMBE BAY NHS FOUNDATION TRUST</c:v>
                </c:pt>
                <c:pt idx="13">
                  <c:v>WARRINGTON AND HALTON HOSPITALS NHS FOUNDATION TRUST</c:v>
                </c:pt>
                <c:pt idx="14">
                  <c:v>WORCESTERSHIRE ACUTE HOSPITALS NHS TRUST</c:v>
                </c:pt>
                <c:pt idx="15">
                  <c:v>WRIGHTINGTON, WIGAN AND LEIGH NHS FOUNDATION TRUST</c:v>
                </c:pt>
              </c:strCache>
            </c:strRef>
          </c:cat>
          <c:val>
            <c:numRef>
              <c:f>'comparators (3)'!$C$38:$C$54</c:f>
              <c:numCache>
                <c:formatCode>General</c:formatCode>
                <c:ptCount val="16"/>
                <c:pt idx="0">
                  <c:v>18</c:v>
                </c:pt>
                <c:pt idx="1">
                  <c:v>225</c:v>
                </c:pt>
                <c:pt idx="2">
                  <c:v>220</c:v>
                </c:pt>
                <c:pt idx="3">
                  <c:v>0</c:v>
                </c:pt>
                <c:pt idx="4">
                  <c:v>120</c:v>
                </c:pt>
                <c:pt idx="5">
                  <c:v>1151</c:v>
                </c:pt>
                <c:pt idx="6">
                  <c:v>0</c:v>
                </c:pt>
                <c:pt idx="7">
                  <c:v>60</c:v>
                </c:pt>
                <c:pt idx="8">
                  <c:v>16</c:v>
                </c:pt>
                <c:pt idx="9">
                  <c:v>0</c:v>
                </c:pt>
                <c:pt idx="10">
                  <c:v>1</c:v>
                </c:pt>
                <c:pt idx="11">
                  <c:v>0</c:v>
                </c:pt>
                <c:pt idx="12">
                  <c:v>104</c:v>
                </c:pt>
                <c:pt idx="13">
                  <c:v>0</c:v>
                </c:pt>
                <c:pt idx="14">
                  <c:v>0</c:v>
                </c:pt>
                <c:pt idx="15">
                  <c:v>21</c:v>
                </c:pt>
              </c:numCache>
            </c:numRef>
          </c:val>
          <c:extLst>
            <c:ext xmlns:c16="http://schemas.microsoft.com/office/drawing/2014/chart" uri="{C3380CC4-5D6E-409C-BE32-E72D297353CC}">
              <c16:uniqueId val="{00000001-215E-4A08-A456-94605A06E4C6}"/>
            </c:ext>
          </c:extLst>
        </c:ser>
        <c:ser>
          <c:idx val="2"/>
          <c:order val="2"/>
          <c:tx>
            <c:strRef>
              <c:f>'comparators (3)'!$D$37</c:f>
              <c:strCache>
                <c:ptCount val="1"/>
                <c:pt idx="0">
                  <c:v>Sum of NHS and Social Care Days</c:v>
                </c:pt>
              </c:strCache>
            </c:strRef>
          </c:tx>
          <c:invertIfNegative val="0"/>
          <c:cat>
            <c:strRef>
              <c:f>'comparators (3)'!$A$38:$A$54</c:f>
              <c:strCache>
                <c:ptCount val="16"/>
                <c:pt idx="0">
                  <c:v>AIREDALE NHS FOUNDATION TRUST</c:v>
                </c:pt>
                <c:pt idx="1">
                  <c:v>BLACKPOOL TEACHING HOSPITALS NHS FOUNDATION TRUST</c:v>
                </c:pt>
                <c:pt idx="2">
                  <c:v>EAST LANCASHIRE HOSPITALS NHS TRUST</c:v>
                </c:pt>
                <c:pt idx="3">
                  <c:v>GUY'S AND ST THOMAS' NHS FOUNDATION TRUST</c:v>
                </c:pt>
                <c:pt idx="4">
                  <c:v>LANCASHIRE CARE NHS FOUNDATION TRUST</c:v>
                </c:pt>
                <c:pt idx="5">
                  <c:v>LANCASHIRE TEACHING HOSPITALS NHS FOUNDATION TRUST</c:v>
                </c:pt>
                <c:pt idx="6">
                  <c:v>LIVERPOOL HEART AND CHEST HOSPITAL NHS FOUNDATION TRUST</c:v>
                </c:pt>
                <c:pt idx="7">
                  <c:v>MERSEY CARE NHS FOUNDATION TRUST</c:v>
                </c:pt>
                <c:pt idx="8">
                  <c:v>PENNINE ACUTE HOSPITALS NHS TRUST</c:v>
                </c:pt>
                <c:pt idx="9">
                  <c:v>SALFORD ROYAL NHS FOUNDATION TRUST</c:v>
                </c:pt>
                <c:pt idx="10">
                  <c:v>SOUTHPORT AND ORMSKIRK HOSPITAL NHS TRUST</c:v>
                </c:pt>
                <c:pt idx="11">
                  <c:v>THE WALTON CENTRE NHS FOUNDATION TRUST</c:v>
                </c:pt>
                <c:pt idx="12">
                  <c:v>UNIVERSITY HOSPITALS OF MORECAMBE BAY NHS FOUNDATION TRUST</c:v>
                </c:pt>
                <c:pt idx="13">
                  <c:v>WARRINGTON AND HALTON HOSPITALS NHS FOUNDATION TRUST</c:v>
                </c:pt>
                <c:pt idx="14">
                  <c:v>WORCESTERSHIRE ACUTE HOSPITALS NHS TRUST</c:v>
                </c:pt>
                <c:pt idx="15">
                  <c:v>WRIGHTINGTON, WIGAN AND LEIGH NHS FOUNDATION TRUST</c:v>
                </c:pt>
              </c:strCache>
            </c:strRef>
          </c:cat>
          <c:val>
            <c:numRef>
              <c:f>'comparators (3)'!$D$38:$D$54</c:f>
              <c:numCache>
                <c:formatCode>General</c:formatCode>
                <c:ptCount val="16"/>
                <c:pt idx="0">
                  <c:v>1</c:v>
                </c:pt>
                <c:pt idx="1">
                  <c:v>135</c:v>
                </c:pt>
                <c:pt idx="2">
                  <c:v>114</c:v>
                </c:pt>
                <c:pt idx="3">
                  <c:v>0</c:v>
                </c:pt>
                <c:pt idx="4">
                  <c:v>120</c:v>
                </c:pt>
                <c:pt idx="5">
                  <c:v>6</c:v>
                </c:pt>
                <c:pt idx="6">
                  <c:v>0</c:v>
                </c:pt>
                <c:pt idx="7">
                  <c:v>0</c:v>
                </c:pt>
                <c:pt idx="8">
                  <c:v>0</c:v>
                </c:pt>
                <c:pt idx="9">
                  <c:v>0</c:v>
                </c:pt>
                <c:pt idx="10">
                  <c:v>0</c:v>
                </c:pt>
                <c:pt idx="11">
                  <c:v>0</c:v>
                </c:pt>
                <c:pt idx="12">
                  <c:v>19</c:v>
                </c:pt>
                <c:pt idx="13">
                  <c:v>0</c:v>
                </c:pt>
                <c:pt idx="14">
                  <c:v>0</c:v>
                </c:pt>
                <c:pt idx="15">
                  <c:v>0</c:v>
                </c:pt>
              </c:numCache>
            </c:numRef>
          </c:val>
          <c:extLst>
            <c:ext xmlns:c16="http://schemas.microsoft.com/office/drawing/2014/chart" uri="{C3380CC4-5D6E-409C-BE32-E72D297353CC}">
              <c16:uniqueId val="{00000002-215E-4A08-A456-94605A06E4C6}"/>
            </c:ext>
          </c:extLst>
        </c:ser>
        <c:dLbls>
          <c:showLegendKey val="0"/>
          <c:showVal val="0"/>
          <c:showCatName val="0"/>
          <c:showSerName val="0"/>
          <c:showPercent val="0"/>
          <c:showBubbleSize val="0"/>
        </c:dLbls>
        <c:gapWidth val="150"/>
        <c:axId val="167316912"/>
        <c:axId val="167317304"/>
      </c:barChart>
      <c:catAx>
        <c:axId val="167316912"/>
        <c:scaling>
          <c:orientation val="maxMin"/>
        </c:scaling>
        <c:delete val="0"/>
        <c:axPos val="l"/>
        <c:numFmt formatCode="General" sourceLinked="0"/>
        <c:majorTickMark val="out"/>
        <c:minorTickMark val="none"/>
        <c:tickLblPos val="nextTo"/>
        <c:txPr>
          <a:bodyPr/>
          <a:lstStyle/>
          <a:p>
            <a:pPr>
              <a:defRPr sz="800" baseline="0"/>
            </a:pPr>
            <a:endParaRPr lang="en-US"/>
          </a:p>
        </c:txPr>
        <c:crossAx val="167317304"/>
        <c:crosses val="autoZero"/>
        <c:auto val="1"/>
        <c:lblAlgn val="ctr"/>
        <c:lblOffset val="100"/>
        <c:noMultiLvlLbl val="0"/>
      </c:catAx>
      <c:valAx>
        <c:axId val="167317304"/>
        <c:scaling>
          <c:orientation val="minMax"/>
        </c:scaling>
        <c:delete val="0"/>
        <c:axPos val="t"/>
        <c:majorGridlines/>
        <c:numFmt formatCode="General" sourceLinked="1"/>
        <c:majorTickMark val="out"/>
        <c:minorTickMark val="none"/>
        <c:tickLblPos val="nextTo"/>
        <c:crossAx val="167316912"/>
        <c:crosses val="autoZero"/>
        <c:crossBetween val="between"/>
      </c:valAx>
    </c:plotArea>
    <c:legend>
      <c:legendPos val="b"/>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2015_16 to 2017_18 revised1.xlsx]comparators (3)!PivotTable2</c:name>
    <c:fmtId val="295"/>
  </c:pivotSource>
  <c:chart>
    <c:title>
      <c:tx>
        <c:rich>
          <a:bodyPr/>
          <a:lstStyle/>
          <a:p>
            <a:pPr>
              <a:defRPr/>
            </a:pPr>
            <a:r>
              <a:rPr lang="en-GB" sz="1200" b="1" i="0" baseline="0">
                <a:effectLst/>
              </a:rPr>
              <a:t>Nov-17 social care delayed days by provider and local authority</a:t>
            </a:r>
            <a:endParaRPr lang="en-GB" sz="1200">
              <a:effectLst/>
            </a:endParaRPr>
          </a:p>
        </c:rich>
      </c:tx>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marker>
          <c:symbol val="none"/>
        </c:marker>
      </c:pivotFmt>
      <c:pivotFmt>
        <c:idx val="102"/>
        <c:marker>
          <c:symbol val="none"/>
        </c:marker>
      </c:pivotFmt>
      <c:pivotFmt>
        <c:idx val="103"/>
        <c:marker>
          <c:symbol val="none"/>
        </c:marker>
      </c:pivotFmt>
      <c:pivotFmt>
        <c:idx val="104"/>
        <c:marker>
          <c:symbol val="none"/>
        </c:marker>
      </c:pivotFmt>
      <c:pivotFmt>
        <c:idx val="105"/>
        <c:marker>
          <c:symbol val="none"/>
        </c:marker>
      </c:pivotFmt>
      <c:pivotFmt>
        <c:idx val="106"/>
        <c:marker>
          <c:symbol val="none"/>
        </c:marker>
      </c:pivotFmt>
      <c:pivotFmt>
        <c:idx val="107"/>
        <c:marker>
          <c:symbol val="none"/>
        </c:marker>
      </c:pivotFmt>
      <c:pivotFmt>
        <c:idx val="108"/>
        <c:marker>
          <c:symbol val="none"/>
        </c:marker>
      </c:pivotFmt>
      <c:pivotFmt>
        <c:idx val="109"/>
        <c:marker>
          <c:symbol val="none"/>
        </c:marker>
      </c:pivotFmt>
      <c:pivotFmt>
        <c:idx val="110"/>
        <c:marker>
          <c:symbol val="none"/>
        </c:marker>
      </c:pivotFmt>
      <c:pivotFmt>
        <c:idx val="111"/>
        <c:marker>
          <c:symbol val="none"/>
        </c:marker>
      </c:pivotFmt>
      <c:pivotFmt>
        <c:idx val="112"/>
        <c:marker>
          <c:symbol val="none"/>
        </c:marker>
      </c:pivotFmt>
      <c:pivotFmt>
        <c:idx val="113"/>
        <c:marker>
          <c:symbol val="none"/>
        </c:marker>
      </c:pivotFmt>
      <c:pivotFmt>
        <c:idx val="114"/>
        <c:marker>
          <c:symbol val="none"/>
        </c:marker>
      </c:pivotFmt>
      <c:pivotFmt>
        <c:idx val="115"/>
        <c:marker>
          <c:symbol val="none"/>
        </c:marker>
      </c:pivotFmt>
      <c:pivotFmt>
        <c:idx val="116"/>
        <c:marker>
          <c:symbol val="none"/>
        </c:marker>
      </c:pivotFmt>
      <c:pivotFmt>
        <c:idx val="117"/>
        <c:marker>
          <c:symbol val="none"/>
        </c:marker>
      </c:pivotFmt>
      <c:pivotFmt>
        <c:idx val="118"/>
        <c:marker>
          <c:symbol val="none"/>
        </c:marker>
      </c:pivotFmt>
      <c:pivotFmt>
        <c:idx val="119"/>
        <c:marker>
          <c:symbol val="none"/>
        </c:marker>
      </c:pivotFmt>
      <c:pivotFmt>
        <c:idx val="120"/>
        <c:marker>
          <c:symbol val="none"/>
        </c:marker>
      </c:pivotFmt>
    </c:pivotFmts>
    <c:plotArea>
      <c:layout/>
      <c:barChart>
        <c:barDir val="bar"/>
        <c:grouping val="stacked"/>
        <c:varyColors val="0"/>
        <c:ser>
          <c:idx val="0"/>
          <c:order val="0"/>
          <c:tx>
            <c:strRef>
              <c:f>'comparators (3)'!$B$37:$B$38</c:f>
              <c:strCache>
                <c:ptCount val="1"/>
                <c:pt idx="0">
                  <c:v>BLACKBURN WITH DARWEN UA</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(3)'!$B$39:$B$45</c:f>
              <c:numCache>
                <c:formatCode>General</c:formatCode>
                <c:ptCount val="6"/>
                <c:pt idx="1">
                  <c:v>96</c:v>
                </c:pt>
                <c:pt idx="2">
                  <c:v>0</c:v>
                </c:pt>
              </c:numCache>
            </c:numRef>
          </c:val>
          <c:extLst>
            <c:ext xmlns:c16="http://schemas.microsoft.com/office/drawing/2014/chart" uri="{C3380CC4-5D6E-409C-BE32-E72D297353CC}">
              <c16:uniqueId val="{00000000-58FE-4C7C-8B77-89F5D6117C1F}"/>
            </c:ext>
          </c:extLst>
        </c:ser>
        <c:ser>
          <c:idx val="1"/>
          <c:order val="1"/>
          <c:tx>
            <c:strRef>
              <c:f>'comparators (3)'!$C$37:$C$38</c:f>
              <c:strCache>
                <c:ptCount val="1"/>
                <c:pt idx="0">
                  <c:v>BLACKPOOL UA</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(3)'!$C$39:$C$45</c:f>
              <c:numCache>
                <c:formatCode>General</c:formatCode>
                <c:ptCount val="6"/>
                <c:pt idx="0">
                  <c:v>215</c:v>
                </c:pt>
                <c:pt idx="2">
                  <c:v>0</c:v>
                </c:pt>
                <c:pt idx="3">
                  <c:v>41</c:v>
                </c:pt>
              </c:numCache>
            </c:numRef>
          </c:val>
          <c:extLst>
            <c:ext xmlns:c16="http://schemas.microsoft.com/office/drawing/2014/chart" uri="{C3380CC4-5D6E-409C-BE32-E72D297353CC}">
              <c16:uniqueId val="{00000001-58FE-4C7C-8B77-89F5D6117C1F}"/>
            </c:ext>
          </c:extLst>
        </c:ser>
        <c:ser>
          <c:idx val="2"/>
          <c:order val="2"/>
          <c:tx>
            <c:strRef>
              <c:f>'comparators (3)'!$D$37:$D$38</c:f>
              <c:strCache>
                <c:ptCount val="1"/>
                <c:pt idx="0">
                  <c:v>CALDERDALE</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(3)'!$D$39:$D$45</c:f>
              <c:numCache>
                <c:formatCode>General</c:formatCode>
                <c:ptCount val="6"/>
                <c:pt idx="1">
                  <c:v>21</c:v>
                </c:pt>
              </c:numCache>
            </c:numRef>
          </c:val>
          <c:extLst>
            <c:ext xmlns:c16="http://schemas.microsoft.com/office/drawing/2014/chart" uri="{C3380CC4-5D6E-409C-BE32-E72D297353CC}">
              <c16:uniqueId val="{00000002-58FE-4C7C-8B77-89F5D6117C1F}"/>
            </c:ext>
          </c:extLst>
        </c:ser>
        <c:ser>
          <c:idx val="3"/>
          <c:order val="3"/>
          <c:tx>
            <c:strRef>
              <c:f>'comparators (3)'!$E$37:$E$38</c:f>
              <c:strCache>
                <c:ptCount val="1"/>
                <c:pt idx="0">
                  <c:v>CUMBRIA</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(3)'!$E$39:$E$45</c:f>
              <c:numCache>
                <c:formatCode>General</c:formatCode>
                <c:ptCount val="6"/>
                <c:pt idx="3">
                  <c:v>16</c:v>
                </c:pt>
                <c:pt idx="5">
                  <c:v>361</c:v>
                </c:pt>
              </c:numCache>
            </c:numRef>
          </c:val>
          <c:extLst>
            <c:ext xmlns:c16="http://schemas.microsoft.com/office/drawing/2014/chart" uri="{C3380CC4-5D6E-409C-BE32-E72D297353CC}">
              <c16:uniqueId val="{00000003-58FE-4C7C-8B77-89F5D6117C1F}"/>
            </c:ext>
          </c:extLst>
        </c:ser>
        <c:ser>
          <c:idx val="4"/>
          <c:order val="4"/>
          <c:tx>
            <c:strRef>
              <c:f>'comparators (3)'!$F$37:$F$38</c:f>
              <c:strCache>
                <c:ptCount val="1"/>
                <c:pt idx="0">
                  <c:v>KINGSTON UPON HULL UA</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(3)'!$F$39:$F$45</c:f>
              <c:numCache>
                <c:formatCode>General</c:formatCode>
                <c:ptCount val="6"/>
                <c:pt idx="3">
                  <c:v>1</c:v>
                </c:pt>
              </c:numCache>
            </c:numRef>
          </c:val>
          <c:extLst>
            <c:ext xmlns:c16="http://schemas.microsoft.com/office/drawing/2014/chart" uri="{C3380CC4-5D6E-409C-BE32-E72D297353CC}">
              <c16:uniqueId val="{00000004-58FE-4C7C-8B77-89F5D6117C1F}"/>
            </c:ext>
          </c:extLst>
        </c:ser>
        <c:ser>
          <c:idx val="5"/>
          <c:order val="5"/>
          <c:tx>
            <c:strRef>
              <c:f>'comparators (3)'!$G$37:$G$38</c:f>
              <c:strCache>
                <c:ptCount val="1"/>
                <c:pt idx="0">
                  <c:v>LANCASHIRE</c:v>
                </c:pt>
              </c:strCache>
            </c:strRef>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(3)'!$G$39:$G$45</c:f>
              <c:numCache>
                <c:formatCode>General</c:formatCode>
                <c:ptCount val="6"/>
                <c:pt idx="0">
                  <c:v>225</c:v>
                </c:pt>
                <c:pt idx="1">
                  <c:v>220</c:v>
                </c:pt>
                <c:pt idx="2">
                  <c:v>120</c:v>
                </c:pt>
                <c:pt idx="3">
                  <c:v>1151</c:v>
                </c:pt>
                <c:pt idx="4">
                  <c:v>1</c:v>
                </c:pt>
                <c:pt idx="5">
                  <c:v>104</c:v>
                </c:pt>
              </c:numCache>
            </c:numRef>
          </c:val>
          <c:extLst>
            <c:ext xmlns:c16="http://schemas.microsoft.com/office/drawing/2014/chart" uri="{C3380CC4-5D6E-409C-BE32-E72D297353CC}">
              <c16:uniqueId val="{00000005-58FE-4C7C-8B77-89F5D6117C1F}"/>
            </c:ext>
          </c:extLst>
        </c:ser>
        <c:ser>
          <c:idx val="6"/>
          <c:order val="6"/>
          <c:tx>
            <c:strRef>
              <c:f>'comparators (3)'!$H$37:$H$38</c:f>
              <c:strCache>
                <c:ptCount val="1"/>
                <c:pt idx="0">
                  <c:v>SEFTON</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(3)'!$H$39:$H$45</c:f>
              <c:numCache>
                <c:formatCode>General</c:formatCode>
                <c:ptCount val="6"/>
                <c:pt idx="4">
                  <c:v>0</c:v>
                </c:pt>
              </c:numCache>
            </c:numRef>
          </c:val>
          <c:extLst>
            <c:ext xmlns:c16="http://schemas.microsoft.com/office/drawing/2014/chart" uri="{C3380CC4-5D6E-409C-BE32-E72D297353CC}">
              <c16:uniqueId val="{00000006-58FE-4C7C-8B77-89F5D6117C1F}"/>
            </c:ext>
          </c:extLst>
        </c:ser>
        <c:ser>
          <c:idx val="7"/>
          <c:order val="7"/>
          <c:tx>
            <c:strRef>
              <c:f>'comparators (3)'!$I$37:$I$38</c:f>
              <c:strCache>
                <c:ptCount val="1"/>
                <c:pt idx="0">
                  <c:v>STAFFORDSHIRE</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(3)'!$I$39:$I$45</c:f>
              <c:numCache>
                <c:formatCode>General</c:formatCode>
                <c:ptCount val="6"/>
                <c:pt idx="3">
                  <c:v>7</c:v>
                </c:pt>
              </c:numCache>
            </c:numRef>
          </c:val>
          <c:extLst>
            <c:ext xmlns:c16="http://schemas.microsoft.com/office/drawing/2014/chart" uri="{C3380CC4-5D6E-409C-BE32-E72D297353CC}">
              <c16:uniqueId val="{00000007-58FE-4C7C-8B77-89F5D6117C1F}"/>
            </c:ext>
          </c:extLst>
        </c:ser>
        <c:ser>
          <c:idx val="8"/>
          <c:order val="8"/>
          <c:tx>
            <c:strRef>
              <c:f>'comparators (3)'!$J$37:$J$38</c:f>
              <c:strCache>
                <c:ptCount val="1"/>
                <c:pt idx="0">
                  <c:v>STOCKPORT</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(3)'!$J$39:$J$45</c:f>
              <c:numCache>
                <c:formatCode>General</c:formatCode>
                <c:ptCount val="6"/>
                <c:pt idx="5">
                  <c:v>0</c:v>
                </c:pt>
              </c:numCache>
            </c:numRef>
          </c:val>
          <c:extLst>
            <c:ext xmlns:c16="http://schemas.microsoft.com/office/drawing/2014/chart" uri="{C3380CC4-5D6E-409C-BE32-E72D297353CC}">
              <c16:uniqueId val="{00000008-58FE-4C7C-8B77-89F5D6117C1F}"/>
            </c:ext>
          </c:extLst>
        </c:ser>
        <c:ser>
          <c:idx val="9"/>
          <c:order val="9"/>
          <c:tx>
            <c:strRef>
              <c:f>'comparators (3)'!$K$37:$K$38</c:f>
              <c:strCache>
                <c:ptCount val="1"/>
                <c:pt idx="0">
                  <c:v>WIGAN</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(3)'!$K$39:$K$45</c:f>
              <c:numCache>
                <c:formatCode>General</c:formatCode>
                <c:ptCount val="6"/>
                <c:pt idx="3">
                  <c:v>29</c:v>
                </c:pt>
              </c:numCache>
            </c:numRef>
          </c:val>
          <c:extLst>
            <c:ext xmlns:c16="http://schemas.microsoft.com/office/drawing/2014/chart" uri="{C3380CC4-5D6E-409C-BE32-E72D297353CC}">
              <c16:uniqueId val="{00000009-58FE-4C7C-8B77-89F5D6117C1F}"/>
            </c:ext>
          </c:extLst>
        </c:ser>
        <c:dLbls>
          <c:showLegendKey val="0"/>
          <c:showVal val="0"/>
          <c:showCatName val="0"/>
          <c:showSerName val="0"/>
          <c:showPercent val="0"/>
          <c:showBubbleSize val="0"/>
        </c:dLbls>
        <c:gapWidth val="150"/>
        <c:overlap val="100"/>
        <c:axId val="167318088"/>
        <c:axId val="167318480"/>
      </c:barChart>
      <c:catAx>
        <c:axId val="167318088"/>
        <c:scaling>
          <c:orientation val="maxMin"/>
        </c:scaling>
        <c:delete val="0"/>
        <c:axPos val="l"/>
        <c:numFmt formatCode="General" sourceLinked="0"/>
        <c:majorTickMark val="out"/>
        <c:minorTickMark val="none"/>
        <c:tickLblPos val="nextTo"/>
        <c:txPr>
          <a:bodyPr/>
          <a:lstStyle/>
          <a:p>
            <a:pPr>
              <a:defRPr sz="800" baseline="0"/>
            </a:pPr>
            <a:endParaRPr lang="en-US"/>
          </a:p>
        </c:txPr>
        <c:crossAx val="167318480"/>
        <c:crosses val="autoZero"/>
        <c:auto val="1"/>
        <c:lblAlgn val="ctr"/>
        <c:lblOffset val="100"/>
        <c:noMultiLvlLbl val="0"/>
      </c:catAx>
      <c:valAx>
        <c:axId val="167318480"/>
        <c:scaling>
          <c:orientation val="minMax"/>
        </c:scaling>
        <c:delete val="0"/>
        <c:axPos val="t"/>
        <c:majorGridlines/>
        <c:numFmt formatCode="General" sourceLinked="1"/>
        <c:majorTickMark val="out"/>
        <c:minorTickMark val="none"/>
        <c:tickLblPos val="nextTo"/>
        <c:crossAx val="167318088"/>
        <c:crosses val="autoZero"/>
        <c:crossBetween val="between"/>
      </c:valAx>
    </c:plotArea>
    <c:legend>
      <c:legendPos val="b"/>
      <c:overlay val="0"/>
      <c:txPr>
        <a:bodyPr/>
        <a:lstStyle/>
        <a:p>
          <a:pPr>
            <a:defRPr sz="900" baseline="0"/>
          </a:pPr>
          <a:endParaRPr lang="en-US"/>
        </a:p>
      </c:txPr>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2015_16 to 2017_18 revised1.xlsx]comparators (3)!PivotTable2</c:name>
    <c:fmtId val="297"/>
  </c:pivotSource>
  <c:chart>
    <c:title>
      <c:tx>
        <c:rich>
          <a:bodyPr/>
          <a:lstStyle/>
          <a:p>
            <a:pPr>
              <a:defRPr/>
            </a:pPr>
            <a:r>
              <a:rPr lang="en-GB" sz="1200" b="1" i="0" baseline="0">
                <a:effectLst/>
              </a:rPr>
              <a:t>Nov-17 total delayed days by provider and local authority</a:t>
            </a:r>
            <a:endParaRPr lang="en-GB" sz="1200">
              <a:effectLst/>
            </a:endParaRPr>
          </a:p>
        </c:rich>
      </c:tx>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marker>
          <c:symbol val="none"/>
        </c:marker>
      </c:pivotFmt>
      <c:pivotFmt>
        <c:idx val="102"/>
        <c:marker>
          <c:symbol val="none"/>
        </c:marker>
      </c:pivotFmt>
      <c:pivotFmt>
        <c:idx val="103"/>
        <c:marker>
          <c:symbol val="none"/>
        </c:marker>
      </c:pivotFmt>
      <c:pivotFmt>
        <c:idx val="104"/>
        <c:marker>
          <c:symbol val="none"/>
        </c:marker>
      </c:pivotFmt>
      <c:pivotFmt>
        <c:idx val="105"/>
        <c:marker>
          <c:symbol val="none"/>
        </c:marker>
      </c:pivotFmt>
      <c:pivotFmt>
        <c:idx val="106"/>
        <c:marker>
          <c:symbol val="none"/>
        </c:marker>
      </c:pivotFmt>
      <c:pivotFmt>
        <c:idx val="107"/>
        <c:marker>
          <c:symbol val="none"/>
        </c:marker>
      </c:pivotFmt>
      <c:pivotFmt>
        <c:idx val="108"/>
        <c:marker>
          <c:symbol val="none"/>
        </c:marker>
      </c:pivotFmt>
      <c:pivotFmt>
        <c:idx val="109"/>
        <c:marker>
          <c:symbol val="none"/>
        </c:marker>
      </c:pivotFmt>
      <c:pivotFmt>
        <c:idx val="110"/>
        <c:marker>
          <c:symbol val="none"/>
        </c:marker>
      </c:pivotFmt>
      <c:pivotFmt>
        <c:idx val="111"/>
        <c:marker>
          <c:symbol val="none"/>
        </c:marker>
      </c:pivotFmt>
      <c:pivotFmt>
        <c:idx val="112"/>
        <c:marker>
          <c:symbol val="none"/>
        </c:marker>
      </c:pivotFmt>
      <c:pivotFmt>
        <c:idx val="113"/>
        <c:marker>
          <c:symbol val="none"/>
        </c:marker>
      </c:pivotFmt>
      <c:pivotFmt>
        <c:idx val="114"/>
        <c:marker>
          <c:symbol val="none"/>
        </c:marker>
      </c:pivotFmt>
      <c:pivotFmt>
        <c:idx val="115"/>
        <c:marker>
          <c:symbol val="none"/>
        </c:marker>
      </c:pivotFmt>
      <c:pivotFmt>
        <c:idx val="116"/>
        <c:marker>
          <c:symbol val="none"/>
        </c:marker>
      </c:pivotFmt>
      <c:pivotFmt>
        <c:idx val="117"/>
        <c:marker>
          <c:symbol val="none"/>
        </c:marker>
      </c:pivotFmt>
      <c:pivotFmt>
        <c:idx val="118"/>
        <c:marker>
          <c:symbol val="none"/>
        </c:marker>
      </c:pivotFmt>
      <c:pivotFmt>
        <c:idx val="119"/>
        <c:marker>
          <c:symbol val="none"/>
        </c:marker>
      </c:pivotFmt>
      <c:pivotFmt>
        <c:idx val="120"/>
        <c:marker>
          <c:symbol val="none"/>
        </c:marker>
      </c:pivotFmt>
    </c:pivotFmts>
    <c:plotArea>
      <c:layout/>
      <c:barChart>
        <c:barDir val="bar"/>
        <c:grouping val="stacked"/>
        <c:varyColors val="0"/>
        <c:ser>
          <c:idx val="0"/>
          <c:order val="0"/>
          <c:tx>
            <c:strRef>
              <c:f>'comparators (3)'!$B$37:$B$38</c:f>
              <c:strCache>
                <c:ptCount val="1"/>
                <c:pt idx="0">
                  <c:v>BLACKBURN WITH DARWEN UA</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(3)'!$B$39:$B$45</c:f>
              <c:numCache>
                <c:formatCode>General</c:formatCode>
                <c:ptCount val="6"/>
                <c:pt idx="1">
                  <c:v>294</c:v>
                </c:pt>
                <c:pt idx="2">
                  <c:v>0</c:v>
                </c:pt>
              </c:numCache>
            </c:numRef>
          </c:val>
          <c:extLst>
            <c:ext xmlns:c16="http://schemas.microsoft.com/office/drawing/2014/chart" uri="{C3380CC4-5D6E-409C-BE32-E72D297353CC}">
              <c16:uniqueId val="{00000000-5767-4A0B-8BF6-7F68F3DB2F1F}"/>
            </c:ext>
          </c:extLst>
        </c:ser>
        <c:ser>
          <c:idx val="1"/>
          <c:order val="1"/>
          <c:tx>
            <c:strRef>
              <c:f>'comparators (3)'!$C$37:$C$38</c:f>
              <c:strCache>
                <c:ptCount val="1"/>
                <c:pt idx="0">
                  <c:v>BLACKPOOL UA</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(3)'!$C$39:$C$45</c:f>
              <c:numCache>
                <c:formatCode>General</c:formatCode>
                <c:ptCount val="6"/>
                <c:pt idx="0">
                  <c:v>419</c:v>
                </c:pt>
                <c:pt idx="2">
                  <c:v>26</c:v>
                </c:pt>
                <c:pt idx="3">
                  <c:v>79</c:v>
                </c:pt>
              </c:numCache>
            </c:numRef>
          </c:val>
          <c:extLst>
            <c:ext xmlns:c16="http://schemas.microsoft.com/office/drawing/2014/chart" uri="{C3380CC4-5D6E-409C-BE32-E72D297353CC}">
              <c16:uniqueId val="{00000001-5767-4A0B-8BF6-7F68F3DB2F1F}"/>
            </c:ext>
          </c:extLst>
        </c:ser>
        <c:ser>
          <c:idx val="2"/>
          <c:order val="2"/>
          <c:tx>
            <c:strRef>
              <c:f>'comparators (3)'!$D$37:$D$38</c:f>
              <c:strCache>
                <c:ptCount val="1"/>
                <c:pt idx="0">
                  <c:v>CALDERDALE</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(3)'!$D$39:$D$45</c:f>
              <c:numCache>
                <c:formatCode>General</c:formatCode>
                <c:ptCount val="6"/>
                <c:pt idx="1">
                  <c:v>21</c:v>
                </c:pt>
              </c:numCache>
            </c:numRef>
          </c:val>
          <c:extLst>
            <c:ext xmlns:c16="http://schemas.microsoft.com/office/drawing/2014/chart" uri="{C3380CC4-5D6E-409C-BE32-E72D297353CC}">
              <c16:uniqueId val="{00000002-5767-4A0B-8BF6-7F68F3DB2F1F}"/>
            </c:ext>
          </c:extLst>
        </c:ser>
        <c:ser>
          <c:idx val="3"/>
          <c:order val="3"/>
          <c:tx>
            <c:strRef>
              <c:f>'comparators (3)'!$E$37:$E$38</c:f>
              <c:strCache>
                <c:ptCount val="1"/>
                <c:pt idx="0">
                  <c:v>CUMBRIA</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(3)'!$E$39:$E$45</c:f>
              <c:numCache>
                <c:formatCode>General</c:formatCode>
                <c:ptCount val="6"/>
                <c:pt idx="3">
                  <c:v>47</c:v>
                </c:pt>
                <c:pt idx="5">
                  <c:v>507</c:v>
                </c:pt>
              </c:numCache>
            </c:numRef>
          </c:val>
          <c:extLst>
            <c:ext xmlns:c16="http://schemas.microsoft.com/office/drawing/2014/chart" uri="{C3380CC4-5D6E-409C-BE32-E72D297353CC}">
              <c16:uniqueId val="{00000003-5767-4A0B-8BF6-7F68F3DB2F1F}"/>
            </c:ext>
          </c:extLst>
        </c:ser>
        <c:ser>
          <c:idx val="4"/>
          <c:order val="4"/>
          <c:tx>
            <c:strRef>
              <c:f>'comparators (3)'!$F$37:$F$38</c:f>
              <c:strCache>
                <c:ptCount val="1"/>
                <c:pt idx="0">
                  <c:v>KINGSTON UPON HULL UA</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(3)'!$F$39:$F$45</c:f>
              <c:numCache>
                <c:formatCode>General</c:formatCode>
                <c:ptCount val="6"/>
                <c:pt idx="3">
                  <c:v>1</c:v>
                </c:pt>
              </c:numCache>
            </c:numRef>
          </c:val>
          <c:extLst>
            <c:ext xmlns:c16="http://schemas.microsoft.com/office/drawing/2014/chart" uri="{C3380CC4-5D6E-409C-BE32-E72D297353CC}">
              <c16:uniqueId val="{00000004-5767-4A0B-8BF6-7F68F3DB2F1F}"/>
            </c:ext>
          </c:extLst>
        </c:ser>
        <c:ser>
          <c:idx val="5"/>
          <c:order val="5"/>
          <c:tx>
            <c:strRef>
              <c:f>'comparators (3)'!$G$37:$G$38</c:f>
              <c:strCache>
                <c:ptCount val="1"/>
                <c:pt idx="0">
                  <c:v>LANCASHIRE</c:v>
                </c:pt>
              </c:strCache>
            </c:strRef>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(3)'!$G$39:$G$45</c:f>
              <c:numCache>
                <c:formatCode>General</c:formatCode>
                <c:ptCount val="6"/>
                <c:pt idx="0">
                  <c:v>562</c:v>
                </c:pt>
                <c:pt idx="1">
                  <c:v>710</c:v>
                </c:pt>
                <c:pt idx="2">
                  <c:v>316</c:v>
                </c:pt>
                <c:pt idx="3">
                  <c:v>2201</c:v>
                </c:pt>
                <c:pt idx="4">
                  <c:v>84</c:v>
                </c:pt>
                <c:pt idx="5">
                  <c:v>450</c:v>
                </c:pt>
              </c:numCache>
            </c:numRef>
          </c:val>
          <c:extLst>
            <c:ext xmlns:c16="http://schemas.microsoft.com/office/drawing/2014/chart" uri="{C3380CC4-5D6E-409C-BE32-E72D297353CC}">
              <c16:uniqueId val="{00000005-5767-4A0B-8BF6-7F68F3DB2F1F}"/>
            </c:ext>
          </c:extLst>
        </c:ser>
        <c:ser>
          <c:idx val="6"/>
          <c:order val="6"/>
          <c:tx>
            <c:strRef>
              <c:f>'comparators (3)'!$H$37:$H$38</c:f>
              <c:strCache>
                <c:ptCount val="1"/>
                <c:pt idx="0">
                  <c:v>SEFTON</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(3)'!$H$39:$H$45</c:f>
              <c:numCache>
                <c:formatCode>General</c:formatCode>
                <c:ptCount val="6"/>
                <c:pt idx="4">
                  <c:v>188</c:v>
                </c:pt>
              </c:numCache>
            </c:numRef>
          </c:val>
          <c:extLst>
            <c:ext xmlns:c16="http://schemas.microsoft.com/office/drawing/2014/chart" uri="{C3380CC4-5D6E-409C-BE32-E72D297353CC}">
              <c16:uniqueId val="{00000006-5767-4A0B-8BF6-7F68F3DB2F1F}"/>
            </c:ext>
          </c:extLst>
        </c:ser>
        <c:ser>
          <c:idx val="7"/>
          <c:order val="7"/>
          <c:tx>
            <c:strRef>
              <c:f>'comparators (3)'!$I$37:$I$38</c:f>
              <c:strCache>
                <c:ptCount val="1"/>
                <c:pt idx="0">
                  <c:v>STAFFORDSHIRE</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(3)'!$I$39:$I$45</c:f>
              <c:numCache>
                <c:formatCode>General</c:formatCode>
                <c:ptCount val="6"/>
                <c:pt idx="3">
                  <c:v>12</c:v>
                </c:pt>
              </c:numCache>
            </c:numRef>
          </c:val>
          <c:extLst>
            <c:ext xmlns:c16="http://schemas.microsoft.com/office/drawing/2014/chart" uri="{C3380CC4-5D6E-409C-BE32-E72D297353CC}">
              <c16:uniqueId val="{00000007-5767-4A0B-8BF6-7F68F3DB2F1F}"/>
            </c:ext>
          </c:extLst>
        </c:ser>
        <c:ser>
          <c:idx val="8"/>
          <c:order val="8"/>
          <c:tx>
            <c:strRef>
              <c:f>'comparators (3)'!$J$37:$J$38</c:f>
              <c:strCache>
                <c:ptCount val="1"/>
                <c:pt idx="0">
                  <c:v>STOCKPORT</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(3)'!$J$39:$J$45</c:f>
              <c:numCache>
                <c:formatCode>General</c:formatCode>
                <c:ptCount val="6"/>
                <c:pt idx="5">
                  <c:v>4</c:v>
                </c:pt>
              </c:numCache>
            </c:numRef>
          </c:val>
          <c:extLst>
            <c:ext xmlns:c16="http://schemas.microsoft.com/office/drawing/2014/chart" uri="{C3380CC4-5D6E-409C-BE32-E72D297353CC}">
              <c16:uniqueId val="{00000008-5767-4A0B-8BF6-7F68F3DB2F1F}"/>
            </c:ext>
          </c:extLst>
        </c:ser>
        <c:ser>
          <c:idx val="9"/>
          <c:order val="9"/>
          <c:tx>
            <c:strRef>
              <c:f>'comparators (3)'!$K$37:$K$38</c:f>
              <c:strCache>
                <c:ptCount val="1"/>
                <c:pt idx="0">
                  <c:v>WIGAN</c:v>
                </c:pt>
              </c:strCache>
            </c:strRef>
          </c:tx>
          <c:invertIfNegative val="0"/>
          <c:cat>
            <c:strRef>
              <c:f>'comparators (3)'!$A$39:$A$45</c:f>
              <c:strCache>
                <c:ptCount val="6"/>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strCache>
            </c:strRef>
          </c:cat>
          <c:val>
            <c:numRef>
              <c:f>'comparators (3)'!$K$39:$K$45</c:f>
              <c:numCache>
                <c:formatCode>General</c:formatCode>
                <c:ptCount val="6"/>
                <c:pt idx="3">
                  <c:v>29</c:v>
                </c:pt>
              </c:numCache>
            </c:numRef>
          </c:val>
          <c:extLst>
            <c:ext xmlns:c16="http://schemas.microsoft.com/office/drawing/2014/chart" uri="{C3380CC4-5D6E-409C-BE32-E72D297353CC}">
              <c16:uniqueId val="{00000009-5767-4A0B-8BF6-7F68F3DB2F1F}"/>
            </c:ext>
          </c:extLst>
        </c:ser>
        <c:dLbls>
          <c:showLegendKey val="0"/>
          <c:showVal val="0"/>
          <c:showCatName val="0"/>
          <c:showSerName val="0"/>
          <c:showPercent val="0"/>
          <c:showBubbleSize val="0"/>
        </c:dLbls>
        <c:gapWidth val="150"/>
        <c:overlap val="100"/>
        <c:axId val="167319264"/>
        <c:axId val="167319656"/>
      </c:barChart>
      <c:catAx>
        <c:axId val="167319264"/>
        <c:scaling>
          <c:orientation val="maxMin"/>
        </c:scaling>
        <c:delete val="0"/>
        <c:axPos val="l"/>
        <c:numFmt formatCode="General" sourceLinked="0"/>
        <c:majorTickMark val="out"/>
        <c:minorTickMark val="none"/>
        <c:tickLblPos val="nextTo"/>
        <c:txPr>
          <a:bodyPr/>
          <a:lstStyle/>
          <a:p>
            <a:pPr>
              <a:defRPr sz="800" baseline="0"/>
            </a:pPr>
            <a:endParaRPr lang="en-US"/>
          </a:p>
        </c:txPr>
        <c:crossAx val="167319656"/>
        <c:crosses val="autoZero"/>
        <c:auto val="1"/>
        <c:lblAlgn val="ctr"/>
        <c:lblOffset val="100"/>
        <c:noMultiLvlLbl val="0"/>
      </c:catAx>
      <c:valAx>
        <c:axId val="167319656"/>
        <c:scaling>
          <c:orientation val="minMax"/>
        </c:scaling>
        <c:delete val="0"/>
        <c:axPos val="t"/>
        <c:majorGridlines/>
        <c:numFmt formatCode="General" sourceLinked="1"/>
        <c:majorTickMark val="out"/>
        <c:minorTickMark val="none"/>
        <c:tickLblPos val="nextTo"/>
        <c:crossAx val="167319264"/>
        <c:crosses val="autoZero"/>
        <c:crossBetween val="between"/>
      </c:valAx>
    </c:plotArea>
    <c:legend>
      <c:legendPos val="b"/>
      <c:overlay val="0"/>
      <c:txPr>
        <a:bodyPr/>
        <a:lstStyle/>
        <a:p>
          <a:pPr>
            <a:defRPr sz="900" baseline="0"/>
          </a:pPr>
          <a:endParaRPr lang="en-US"/>
        </a:p>
      </c:txPr>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2017_18 national providers.xlsx]trust numbers!PivotTable1</c:name>
    <c:fmtId val="42"/>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Nov-17 Provider trust delayed</a:t>
            </a:r>
            <a:r>
              <a:rPr lang="en-GB" sz="1200" b="1" baseline="0"/>
              <a:t> days attributable to social care</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lumMod val="20000"/>
              <a:lumOff val="8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noFill/>
            <a:round/>
          </a:ln>
          <a:effectLst/>
        </c:spPr>
        <c:marker>
          <c:symbol val="diamond"/>
          <c:size val="10"/>
          <c:spPr>
            <a:solidFill>
              <a:schemeClr val="accent2"/>
            </a:solidFill>
            <a:ln w="9525">
              <a:solidFill>
                <a:schemeClr val="accent2"/>
              </a:solidFill>
            </a:ln>
            <a:effectLst/>
          </c:spPr>
        </c:marker>
      </c:pivotFmt>
      <c:pivotFmt>
        <c:idx val="2"/>
        <c:spPr>
          <a:solidFill>
            <a:schemeClr val="accent1">
              <a:lumMod val="20000"/>
              <a:lumOff val="8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diamond"/>
          <c:size val="10"/>
          <c:spPr>
            <a:solidFill>
              <a:schemeClr val="accent2"/>
            </a:solidFill>
            <a:ln w="9525">
              <a:solidFill>
                <a:schemeClr val="accent2"/>
              </a:solidFill>
            </a:ln>
            <a:effectLst/>
          </c:spPr>
        </c:marker>
      </c:pivotFmt>
      <c:pivotFmt>
        <c:idx val="4"/>
        <c:spPr>
          <a:solidFill>
            <a:schemeClr val="accent1">
              <a:lumMod val="20000"/>
              <a:lumOff val="8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diamond"/>
          <c:size val="10"/>
          <c:spPr>
            <a:solidFill>
              <a:schemeClr val="accent2"/>
            </a:solidFill>
            <a:ln w="9525">
              <a:solidFill>
                <a:schemeClr val="accent2"/>
              </a:solidFill>
            </a:ln>
            <a:effectLst/>
          </c:spPr>
        </c:marker>
      </c:pivotFmt>
    </c:pivotFmts>
    <c:plotArea>
      <c:layout/>
      <c:barChart>
        <c:barDir val="col"/>
        <c:grouping val="clustered"/>
        <c:varyColors val="0"/>
        <c:ser>
          <c:idx val="0"/>
          <c:order val="0"/>
          <c:tx>
            <c:strRef>
              <c:f>'trust numbers'!$B$30</c:f>
              <c:strCache>
                <c:ptCount val="1"/>
                <c:pt idx="0">
                  <c:v>Sum of Sum of Social Care Days</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'trust numbers'!$A$31:$A$40</c:f>
              <c:multiLvlStrCache>
                <c:ptCount val="6"/>
                <c:lvl>
                  <c:pt idx="0">
                    <c:v>SOUTHPORT AND ORMSKIRK HOSPITAL NHS TRUST</c:v>
                  </c:pt>
                  <c:pt idx="1">
                    <c:v>UNIVERSITY HOSPITALS OF MORECAMBE BAY NHS FOUNDATION TRUST</c:v>
                  </c:pt>
                  <c:pt idx="2">
                    <c:v>BLACKPOOL TEACHING HOSPITALS NHS FOUNDATION TRUST</c:v>
                  </c:pt>
                  <c:pt idx="3">
                    <c:v>EAST LANCASHIRE HOSPITALS NHS TRUST</c:v>
                  </c:pt>
                  <c:pt idx="4">
                    <c:v>LANCASHIRE CARE NHS FOUNDATION TRUST</c:v>
                  </c:pt>
                  <c:pt idx="5">
                    <c:v>LANCASHIRE TEACHING HOSPITALS NHS FOUNDATION TRUST</c:v>
                  </c:pt>
                </c:lvl>
                <c:lvl>
                  <c:pt idx="0">
                    <c:v>NHS ENGLAND NORTH (CHESHIRE AND MERSEYSIDE)</c:v>
                  </c:pt>
                  <c:pt idx="1">
                    <c:v>NHS ENGLAND NORTH (CUMBRIA AND NORTH EAST)</c:v>
                  </c:pt>
                  <c:pt idx="2">
                    <c:v>NHS ENGLAND NORTH (LANCASHIRE)</c:v>
                  </c:pt>
                </c:lvl>
              </c:multiLvlStrCache>
            </c:multiLvlStrRef>
          </c:cat>
          <c:val>
            <c:numRef>
              <c:f>'trust numbers'!$B$31:$B$40</c:f>
              <c:numCache>
                <c:formatCode>General</c:formatCode>
                <c:ptCount val="6"/>
                <c:pt idx="0">
                  <c:v>1</c:v>
                </c:pt>
                <c:pt idx="1">
                  <c:v>465</c:v>
                </c:pt>
                <c:pt idx="2">
                  <c:v>440</c:v>
                </c:pt>
                <c:pt idx="3">
                  <c:v>337</c:v>
                </c:pt>
                <c:pt idx="4">
                  <c:v>120</c:v>
                </c:pt>
                <c:pt idx="5">
                  <c:v>1245</c:v>
                </c:pt>
              </c:numCache>
            </c:numRef>
          </c:val>
          <c:extLst>
            <c:ext xmlns:c16="http://schemas.microsoft.com/office/drawing/2014/chart" uri="{C3380CC4-5D6E-409C-BE32-E72D297353CC}">
              <c16:uniqueId val="{00000000-FEF3-4ABB-9CF1-09E508372706}"/>
            </c:ext>
          </c:extLst>
        </c:ser>
        <c:dLbls>
          <c:showLegendKey val="0"/>
          <c:showVal val="0"/>
          <c:showCatName val="0"/>
          <c:showSerName val="0"/>
          <c:showPercent val="0"/>
          <c:showBubbleSize val="0"/>
        </c:dLbls>
        <c:gapWidth val="219"/>
        <c:overlap val="-27"/>
        <c:axId val="167320440"/>
        <c:axId val="167320832"/>
      </c:barChart>
      <c:lineChart>
        <c:grouping val="standard"/>
        <c:varyColors val="0"/>
        <c:ser>
          <c:idx val="1"/>
          <c:order val="1"/>
          <c:tx>
            <c:strRef>
              <c:f>'trust numbers'!$C$30</c:f>
              <c:strCache>
                <c:ptCount val="1"/>
                <c:pt idx="0">
                  <c:v>Sum of Average of Social Care Days</c:v>
                </c:pt>
              </c:strCache>
            </c:strRef>
          </c:tx>
          <c:spPr>
            <a:ln w="28575" cap="rnd">
              <a:noFill/>
              <a:round/>
            </a:ln>
            <a:effectLst/>
          </c:spPr>
          <c:marker>
            <c:symbol val="diamond"/>
            <c:size val="10"/>
            <c:spPr>
              <a:solidFill>
                <a:schemeClr val="accent2"/>
              </a:solidFill>
              <a:ln w="9525">
                <a:solidFill>
                  <a:schemeClr val="accent2"/>
                </a:solidFill>
              </a:ln>
              <a:effectLst/>
            </c:spPr>
          </c:marker>
          <c:cat>
            <c:multiLvlStrRef>
              <c:f>'trust numbers'!$A$31:$A$40</c:f>
              <c:multiLvlStrCache>
                <c:ptCount val="6"/>
                <c:lvl>
                  <c:pt idx="0">
                    <c:v>SOUTHPORT AND ORMSKIRK HOSPITAL NHS TRUST</c:v>
                  </c:pt>
                  <c:pt idx="1">
                    <c:v>UNIVERSITY HOSPITALS OF MORECAMBE BAY NHS FOUNDATION TRUST</c:v>
                  </c:pt>
                  <c:pt idx="2">
                    <c:v>BLACKPOOL TEACHING HOSPITALS NHS FOUNDATION TRUST</c:v>
                  </c:pt>
                  <c:pt idx="3">
                    <c:v>EAST LANCASHIRE HOSPITALS NHS TRUST</c:v>
                  </c:pt>
                  <c:pt idx="4">
                    <c:v>LANCASHIRE CARE NHS FOUNDATION TRUST</c:v>
                  </c:pt>
                  <c:pt idx="5">
                    <c:v>LANCASHIRE TEACHING HOSPITALS NHS FOUNDATION TRUST</c:v>
                  </c:pt>
                </c:lvl>
                <c:lvl>
                  <c:pt idx="0">
                    <c:v>NHS ENGLAND NORTH (CHESHIRE AND MERSEYSIDE)</c:v>
                  </c:pt>
                  <c:pt idx="1">
                    <c:v>NHS ENGLAND NORTH (CUMBRIA AND NORTH EAST)</c:v>
                  </c:pt>
                  <c:pt idx="2">
                    <c:v>NHS ENGLAND NORTH (LANCASHIRE)</c:v>
                  </c:pt>
                </c:lvl>
              </c:multiLvlStrCache>
            </c:multiLvlStrRef>
          </c:cat>
          <c:val>
            <c:numRef>
              <c:f>'trust numbers'!$C$31:$C$40</c:f>
              <c:numCache>
                <c:formatCode>General</c:formatCode>
                <c:ptCount val="6"/>
                <c:pt idx="0">
                  <c:v>156.5625</c:v>
                </c:pt>
                <c:pt idx="1">
                  <c:v>193.46153846153845</c:v>
                </c:pt>
                <c:pt idx="2">
                  <c:v>535.5</c:v>
                </c:pt>
                <c:pt idx="3">
                  <c:v>535.5</c:v>
                </c:pt>
                <c:pt idx="4">
                  <c:v>535.5</c:v>
                </c:pt>
                <c:pt idx="5">
                  <c:v>535.5</c:v>
                </c:pt>
              </c:numCache>
            </c:numRef>
          </c:val>
          <c:smooth val="0"/>
          <c:extLst>
            <c:ext xmlns:c16="http://schemas.microsoft.com/office/drawing/2014/chart" uri="{C3380CC4-5D6E-409C-BE32-E72D297353CC}">
              <c16:uniqueId val="{00000001-FEF3-4ABB-9CF1-09E508372706}"/>
            </c:ext>
          </c:extLst>
        </c:ser>
        <c:dLbls>
          <c:showLegendKey val="0"/>
          <c:showVal val="0"/>
          <c:showCatName val="0"/>
          <c:showSerName val="0"/>
          <c:showPercent val="0"/>
          <c:showBubbleSize val="0"/>
        </c:dLbls>
        <c:marker val="1"/>
        <c:smooth val="0"/>
        <c:axId val="167320440"/>
        <c:axId val="167320832"/>
      </c:lineChart>
      <c:catAx>
        <c:axId val="167320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7320832"/>
        <c:crosses val="autoZero"/>
        <c:auto val="1"/>
        <c:lblAlgn val="ctr"/>
        <c:lblOffset val="100"/>
        <c:noMultiLvlLbl val="0"/>
      </c:catAx>
      <c:valAx>
        <c:axId val="167320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320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2017_18 national providers.xlsx]trust numbers!PivotTable1</c:name>
    <c:fmtId val="46"/>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Nov-17 Provider trust delayed</a:t>
            </a:r>
            <a:r>
              <a:rPr lang="en-GB" sz="1200" b="1" baseline="0"/>
              <a:t> days attributable to social care</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lumMod val="20000"/>
              <a:lumOff val="8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noFill/>
            <a:round/>
          </a:ln>
          <a:effectLst/>
        </c:spPr>
        <c:marker>
          <c:symbol val="diamond"/>
          <c:size val="10"/>
          <c:spPr>
            <a:solidFill>
              <a:schemeClr val="accent2"/>
            </a:solidFill>
            <a:ln w="9525">
              <a:solidFill>
                <a:schemeClr val="accent2"/>
              </a:solidFill>
            </a:ln>
            <a:effectLst/>
          </c:spPr>
        </c:marker>
      </c:pivotFmt>
      <c:pivotFmt>
        <c:idx val="2"/>
        <c:spPr>
          <a:solidFill>
            <a:schemeClr val="accent1">
              <a:lumMod val="20000"/>
              <a:lumOff val="8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noFill/>
            <a:round/>
          </a:ln>
          <a:effectLst/>
        </c:spPr>
        <c:marker>
          <c:symbol val="diamond"/>
          <c:size val="10"/>
          <c:spPr>
            <a:solidFill>
              <a:schemeClr val="accent2"/>
            </a:solidFill>
            <a:ln w="9525">
              <a:solidFill>
                <a:schemeClr val="accent2"/>
              </a:solidFill>
            </a:ln>
            <a:effectLst/>
          </c:spPr>
        </c:marker>
      </c:pivotFmt>
      <c:pivotFmt>
        <c:idx val="4"/>
        <c:spPr>
          <a:solidFill>
            <a:schemeClr val="accent1">
              <a:lumMod val="20000"/>
              <a:lumOff val="8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noFill/>
            <a:round/>
          </a:ln>
          <a:effectLst/>
        </c:spPr>
        <c:marker>
          <c:symbol val="diamond"/>
          <c:size val="10"/>
          <c:spPr>
            <a:solidFill>
              <a:schemeClr val="accent2"/>
            </a:solidFill>
            <a:ln w="9525">
              <a:solidFill>
                <a:schemeClr val="accent2"/>
              </a:solidFill>
            </a:ln>
            <a:effectLst/>
          </c:spPr>
        </c:marker>
      </c:pivotFmt>
    </c:pivotFmts>
    <c:plotArea>
      <c:layout/>
      <c:barChart>
        <c:barDir val="col"/>
        <c:grouping val="clustered"/>
        <c:varyColors val="0"/>
        <c:ser>
          <c:idx val="0"/>
          <c:order val="0"/>
          <c:tx>
            <c:strRef>
              <c:f>'trust numbers'!$B$30</c:f>
              <c:strCache>
                <c:ptCount val="1"/>
                <c:pt idx="0">
                  <c:v>Sum of Sum of Social Care Days</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'trust numbers'!$A$31:$A$70</c:f>
              <c:multiLvlStrCache>
                <c:ptCount val="20"/>
                <c:lvl>
                  <c:pt idx="0">
                    <c:v>SUSSEX PARTNERSHIP NHS FOUNDATION TRUST</c:v>
                  </c:pt>
                  <c:pt idx="1">
                    <c:v>STOCKPORT NHS FOUNDATION TRUST</c:v>
                  </c:pt>
                  <c:pt idx="2">
                    <c:v>BERKSHIRE HEALTHCARE NHS FOUNDATION TRUST</c:v>
                  </c:pt>
                  <c:pt idx="3">
                    <c:v>ROYAL CORNWALL HOSPITALS NHS TRUST</c:v>
                  </c:pt>
                  <c:pt idx="4">
                    <c:v>LEEDS AND YORK PARTNERSHIP NHS FOUNDATION TRUST</c:v>
                  </c:pt>
                  <c:pt idx="5">
                    <c:v>CAMBRIDGE UNIVERSITY HOSPITALS NHS FOUNDATION TRUST</c:v>
                  </c:pt>
                  <c:pt idx="6">
                    <c:v>UNIVERSITY HOSPITALS BRISTOL NHS FOUNDATION TRUST</c:v>
                  </c:pt>
                  <c:pt idx="7">
                    <c:v>PENNINE CARE NHS FOUNDATION TRUST</c:v>
                  </c:pt>
                  <c:pt idx="8">
                    <c:v>YORK TEACHING HOSPITAL NHS FOUNDATION TRUST</c:v>
                  </c:pt>
                  <c:pt idx="9">
                    <c:v>PORTSMOUTH HOSPITALS NHS TRUST</c:v>
                  </c:pt>
                  <c:pt idx="10">
                    <c:v>LONDON NORTH WEST HEALTHCARE NHS TRUST</c:v>
                  </c:pt>
                  <c:pt idx="11">
                    <c:v>CUMBRIA PARTNERSHIP NHS FOUNDATION TRUST</c:v>
                  </c:pt>
                  <c:pt idx="12">
                    <c:v>HAMPSHIRE HOSPITALS NHS FOUNDATION TRUST</c:v>
                  </c:pt>
                  <c:pt idx="13">
                    <c:v>CORNWALL PARTNERSHIP NHS FOUNDATION TRUST</c:v>
                  </c:pt>
                  <c:pt idx="14">
                    <c:v>HEART OF ENGLAND NHS FOUNDATION TRUST</c:v>
                  </c:pt>
                  <c:pt idx="15">
                    <c:v>UNIVERSITY HOSPITALS BIRMINGHAM NHS FOUNDATION TRUST</c:v>
                  </c:pt>
                  <c:pt idx="16">
                    <c:v>LANCASHIRE TEACHING HOSPITALS NHS FOUNDATION TRUST</c:v>
                  </c:pt>
                  <c:pt idx="17">
                    <c:v>UNIVERSITY HOSPITAL SOUTHAMPTON NHS FOUNDATION TRUST</c:v>
                  </c:pt>
                  <c:pt idx="18">
                    <c:v>SOUTHERN HEALTH NHS FOUNDATION TRUST</c:v>
                  </c:pt>
                  <c:pt idx="19">
                    <c:v>MANCHESTER UNIVERSITY NHS FOUNDATION TRUST</c:v>
                  </c:pt>
                </c:lvl>
                <c:lvl>
                  <c:pt idx="0">
                    <c:v>207</c:v>
                  </c:pt>
                  <c:pt idx="1">
                    <c:v>208</c:v>
                  </c:pt>
                  <c:pt idx="2">
                    <c:v>209</c:v>
                  </c:pt>
                  <c:pt idx="4">
                    <c:v>211</c:v>
                  </c:pt>
                  <c:pt idx="5">
                    <c:v>212</c:v>
                  </c:pt>
                  <c:pt idx="6">
                    <c:v>213</c:v>
                  </c:pt>
                  <c:pt idx="7">
                    <c:v>214</c:v>
                  </c:pt>
                  <c:pt idx="8">
                    <c:v>215</c:v>
                  </c:pt>
                  <c:pt idx="9">
                    <c:v>216</c:v>
                  </c:pt>
                  <c:pt idx="10">
                    <c:v>217</c:v>
                  </c:pt>
                  <c:pt idx="11">
                    <c:v>218</c:v>
                  </c:pt>
                  <c:pt idx="12">
                    <c:v>219</c:v>
                  </c:pt>
                  <c:pt idx="13">
                    <c:v>220</c:v>
                  </c:pt>
                  <c:pt idx="14">
                    <c:v>221</c:v>
                  </c:pt>
                  <c:pt idx="15">
                    <c:v>222</c:v>
                  </c:pt>
                  <c:pt idx="16">
                    <c:v>223</c:v>
                  </c:pt>
                  <c:pt idx="17">
                    <c:v>224</c:v>
                  </c:pt>
                  <c:pt idx="18">
                    <c:v>225</c:v>
                  </c:pt>
                  <c:pt idx="19">
                    <c:v>226</c:v>
                  </c:pt>
                </c:lvl>
              </c:multiLvlStrCache>
            </c:multiLvlStrRef>
          </c:cat>
          <c:val>
            <c:numRef>
              <c:f>'trust numbers'!$B$31:$B$70</c:f>
              <c:numCache>
                <c:formatCode>General</c:formatCode>
                <c:ptCount val="20"/>
                <c:pt idx="0">
                  <c:v>603</c:v>
                </c:pt>
                <c:pt idx="1">
                  <c:v>624</c:v>
                </c:pt>
                <c:pt idx="2">
                  <c:v>632</c:v>
                </c:pt>
                <c:pt idx="3">
                  <c:v>632</c:v>
                </c:pt>
                <c:pt idx="4">
                  <c:v>683</c:v>
                </c:pt>
                <c:pt idx="5">
                  <c:v>685</c:v>
                </c:pt>
                <c:pt idx="6">
                  <c:v>687</c:v>
                </c:pt>
                <c:pt idx="7">
                  <c:v>690</c:v>
                </c:pt>
                <c:pt idx="8">
                  <c:v>807</c:v>
                </c:pt>
                <c:pt idx="9">
                  <c:v>815</c:v>
                </c:pt>
                <c:pt idx="10">
                  <c:v>820</c:v>
                </c:pt>
                <c:pt idx="11">
                  <c:v>885</c:v>
                </c:pt>
                <c:pt idx="12">
                  <c:v>923</c:v>
                </c:pt>
                <c:pt idx="13">
                  <c:v>934</c:v>
                </c:pt>
                <c:pt idx="14">
                  <c:v>1003</c:v>
                </c:pt>
                <c:pt idx="15">
                  <c:v>1129</c:v>
                </c:pt>
                <c:pt idx="16">
                  <c:v>1245</c:v>
                </c:pt>
                <c:pt idx="17">
                  <c:v>1488</c:v>
                </c:pt>
                <c:pt idx="18">
                  <c:v>1593</c:v>
                </c:pt>
                <c:pt idx="19">
                  <c:v>1613</c:v>
                </c:pt>
              </c:numCache>
            </c:numRef>
          </c:val>
          <c:extLst>
            <c:ext xmlns:c16="http://schemas.microsoft.com/office/drawing/2014/chart" uri="{C3380CC4-5D6E-409C-BE32-E72D297353CC}">
              <c16:uniqueId val="{00000000-494F-4459-A708-25BF14022708}"/>
            </c:ext>
          </c:extLst>
        </c:ser>
        <c:dLbls>
          <c:showLegendKey val="0"/>
          <c:showVal val="0"/>
          <c:showCatName val="0"/>
          <c:showSerName val="0"/>
          <c:showPercent val="0"/>
          <c:showBubbleSize val="0"/>
        </c:dLbls>
        <c:gapWidth val="219"/>
        <c:overlap val="-27"/>
        <c:axId val="167322008"/>
        <c:axId val="168517800"/>
      </c:barChart>
      <c:lineChart>
        <c:grouping val="standard"/>
        <c:varyColors val="0"/>
        <c:ser>
          <c:idx val="1"/>
          <c:order val="1"/>
          <c:tx>
            <c:strRef>
              <c:f>'trust numbers'!$C$30</c:f>
              <c:strCache>
                <c:ptCount val="1"/>
                <c:pt idx="0">
                  <c:v>Sum of Average of Social Care Days</c:v>
                </c:pt>
              </c:strCache>
            </c:strRef>
          </c:tx>
          <c:spPr>
            <a:ln w="28575" cap="rnd">
              <a:noFill/>
              <a:round/>
            </a:ln>
            <a:effectLst/>
          </c:spPr>
          <c:marker>
            <c:symbol val="diamond"/>
            <c:size val="10"/>
            <c:spPr>
              <a:solidFill>
                <a:schemeClr val="accent2"/>
              </a:solidFill>
              <a:ln w="9525">
                <a:solidFill>
                  <a:schemeClr val="accent2"/>
                </a:solidFill>
              </a:ln>
              <a:effectLst/>
            </c:spPr>
          </c:marker>
          <c:cat>
            <c:multiLvlStrRef>
              <c:f>'trust numbers'!$A$31:$A$70</c:f>
              <c:multiLvlStrCache>
                <c:ptCount val="20"/>
                <c:lvl>
                  <c:pt idx="0">
                    <c:v>SUSSEX PARTNERSHIP NHS FOUNDATION TRUST</c:v>
                  </c:pt>
                  <c:pt idx="1">
                    <c:v>STOCKPORT NHS FOUNDATION TRUST</c:v>
                  </c:pt>
                  <c:pt idx="2">
                    <c:v>BERKSHIRE HEALTHCARE NHS FOUNDATION TRUST</c:v>
                  </c:pt>
                  <c:pt idx="3">
                    <c:v>ROYAL CORNWALL HOSPITALS NHS TRUST</c:v>
                  </c:pt>
                  <c:pt idx="4">
                    <c:v>LEEDS AND YORK PARTNERSHIP NHS FOUNDATION TRUST</c:v>
                  </c:pt>
                  <c:pt idx="5">
                    <c:v>CAMBRIDGE UNIVERSITY HOSPITALS NHS FOUNDATION TRUST</c:v>
                  </c:pt>
                  <c:pt idx="6">
                    <c:v>UNIVERSITY HOSPITALS BRISTOL NHS FOUNDATION TRUST</c:v>
                  </c:pt>
                  <c:pt idx="7">
                    <c:v>PENNINE CARE NHS FOUNDATION TRUST</c:v>
                  </c:pt>
                  <c:pt idx="8">
                    <c:v>YORK TEACHING HOSPITAL NHS FOUNDATION TRUST</c:v>
                  </c:pt>
                  <c:pt idx="9">
                    <c:v>PORTSMOUTH HOSPITALS NHS TRUST</c:v>
                  </c:pt>
                  <c:pt idx="10">
                    <c:v>LONDON NORTH WEST HEALTHCARE NHS TRUST</c:v>
                  </c:pt>
                  <c:pt idx="11">
                    <c:v>CUMBRIA PARTNERSHIP NHS FOUNDATION TRUST</c:v>
                  </c:pt>
                  <c:pt idx="12">
                    <c:v>HAMPSHIRE HOSPITALS NHS FOUNDATION TRUST</c:v>
                  </c:pt>
                  <c:pt idx="13">
                    <c:v>CORNWALL PARTNERSHIP NHS FOUNDATION TRUST</c:v>
                  </c:pt>
                  <c:pt idx="14">
                    <c:v>HEART OF ENGLAND NHS FOUNDATION TRUST</c:v>
                  </c:pt>
                  <c:pt idx="15">
                    <c:v>UNIVERSITY HOSPITALS BIRMINGHAM NHS FOUNDATION TRUST</c:v>
                  </c:pt>
                  <c:pt idx="16">
                    <c:v>LANCASHIRE TEACHING HOSPITALS NHS FOUNDATION TRUST</c:v>
                  </c:pt>
                  <c:pt idx="17">
                    <c:v>UNIVERSITY HOSPITAL SOUTHAMPTON NHS FOUNDATION TRUST</c:v>
                  </c:pt>
                  <c:pt idx="18">
                    <c:v>SOUTHERN HEALTH NHS FOUNDATION TRUST</c:v>
                  </c:pt>
                  <c:pt idx="19">
                    <c:v>MANCHESTER UNIVERSITY NHS FOUNDATION TRUST</c:v>
                  </c:pt>
                </c:lvl>
                <c:lvl>
                  <c:pt idx="0">
                    <c:v>207</c:v>
                  </c:pt>
                  <c:pt idx="1">
                    <c:v>208</c:v>
                  </c:pt>
                  <c:pt idx="2">
                    <c:v>209</c:v>
                  </c:pt>
                  <c:pt idx="4">
                    <c:v>211</c:v>
                  </c:pt>
                  <c:pt idx="5">
                    <c:v>212</c:v>
                  </c:pt>
                  <c:pt idx="6">
                    <c:v>213</c:v>
                  </c:pt>
                  <c:pt idx="7">
                    <c:v>214</c:v>
                  </c:pt>
                  <c:pt idx="8">
                    <c:v>215</c:v>
                  </c:pt>
                  <c:pt idx="9">
                    <c:v>216</c:v>
                  </c:pt>
                  <c:pt idx="10">
                    <c:v>217</c:v>
                  </c:pt>
                  <c:pt idx="11">
                    <c:v>218</c:v>
                  </c:pt>
                  <c:pt idx="12">
                    <c:v>219</c:v>
                  </c:pt>
                  <c:pt idx="13">
                    <c:v>220</c:v>
                  </c:pt>
                  <c:pt idx="14">
                    <c:v>221</c:v>
                  </c:pt>
                  <c:pt idx="15">
                    <c:v>222</c:v>
                  </c:pt>
                  <c:pt idx="16">
                    <c:v>223</c:v>
                  </c:pt>
                  <c:pt idx="17">
                    <c:v>224</c:v>
                  </c:pt>
                  <c:pt idx="18">
                    <c:v>225</c:v>
                  </c:pt>
                  <c:pt idx="19">
                    <c:v>226</c:v>
                  </c:pt>
                </c:lvl>
              </c:multiLvlStrCache>
            </c:multiLvlStrRef>
          </c:cat>
          <c:val>
            <c:numRef>
              <c:f>'trust numbers'!$C$31:$C$70</c:f>
              <c:numCache>
                <c:formatCode>General</c:formatCode>
                <c:ptCount val="20"/>
                <c:pt idx="0">
                  <c:v>188.1764705882353</c:v>
                </c:pt>
                <c:pt idx="1">
                  <c:v>427</c:v>
                </c:pt>
                <c:pt idx="2">
                  <c:v>257.42857142857144</c:v>
                </c:pt>
                <c:pt idx="3">
                  <c:v>300.39999999999998</c:v>
                </c:pt>
                <c:pt idx="4">
                  <c:v>166.81818181818181</c:v>
                </c:pt>
                <c:pt idx="5">
                  <c:v>192</c:v>
                </c:pt>
                <c:pt idx="6">
                  <c:v>300.39999999999998</c:v>
                </c:pt>
                <c:pt idx="7">
                  <c:v>427</c:v>
                </c:pt>
                <c:pt idx="8">
                  <c:v>166.81818181818181</c:v>
                </c:pt>
                <c:pt idx="9">
                  <c:v>585.20000000000005</c:v>
                </c:pt>
                <c:pt idx="10">
                  <c:v>173.52941176470588</c:v>
                </c:pt>
                <c:pt idx="11">
                  <c:v>193.46153846153845</c:v>
                </c:pt>
                <c:pt idx="12">
                  <c:v>585.20000000000005</c:v>
                </c:pt>
                <c:pt idx="13">
                  <c:v>300.39999999999998</c:v>
                </c:pt>
                <c:pt idx="14">
                  <c:v>288.55</c:v>
                </c:pt>
                <c:pt idx="15">
                  <c:v>288.55</c:v>
                </c:pt>
                <c:pt idx="16">
                  <c:v>535.5</c:v>
                </c:pt>
                <c:pt idx="17">
                  <c:v>585.20000000000005</c:v>
                </c:pt>
                <c:pt idx="18">
                  <c:v>585.20000000000005</c:v>
                </c:pt>
                <c:pt idx="19">
                  <c:v>427</c:v>
                </c:pt>
              </c:numCache>
            </c:numRef>
          </c:val>
          <c:smooth val="0"/>
          <c:extLst>
            <c:ext xmlns:c16="http://schemas.microsoft.com/office/drawing/2014/chart" uri="{C3380CC4-5D6E-409C-BE32-E72D297353CC}">
              <c16:uniqueId val="{00000001-494F-4459-A708-25BF14022708}"/>
            </c:ext>
          </c:extLst>
        </c:ser>
        <c:dLbls>
          <c:showLegendKey val="0"/>
          <c:showVal val="0"/>
          <c:showCatName val="0"/>
          <c:showSerName val="0"/>
          <c:showPercent val="0"/>
          <c:showBubbleSize val="0"/>
        </c:dLbls>
        <c:marker val="1"/>
        <c:smooth val="0"/>
        <c:axId val="167322008"/>
        <c:axId val="168517800"/>
      </c:lineChart>
      <c:catAx>
        <c:axId val="167322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8517800"/>
        <c:crosses val="autoZero"/>
        <c:auto val="1"/>
        <c:lblAlgn val="ctr"/>
        <c:lblOffset val="100"/>
        <c:noMultiLvlLbl val="0"/>
      </c:catAx>
      <c:valAx>
        <c:axId val="168517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322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2015_16 to 2017_18 revised1.xlsx]comparators (3)!PivotTable2</c:name>
    <c:fmtId val="301"/>
  </c:pivotSource>
  <c:chart>
    <c:title>
      <c:tx>
        <c:rich>
          <a:bodyPr/>
          <a:lstStyle/>
          <a:p>
            <a:pPr>
              <a:defRPr/>
            </a:pPr>
            <a:r>
              <a:rPr lang="en-GB" sz="1200" b="1" i="0" baseline="0">
                <a:effectLst/>
              </a:rPr>
              <a:t>Aug-17 to Nov-17 - Major Reasons for Delays in Lancashire </a:t>
            </a:r>
            <a:endParaRPr lang="en-GB" sz="1200">
              <a:effectLst/>
            </a:endParaRPr>
          </a:p>
        </c:rich>
      </c:tx>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marker>
          <c:symbol val="none"/>
        </c:marker>
      </c:pivotFmt>
      <c:pivotFmt>
        <c:idx val="102"/>
        <c:marker>
          <c:symbol val="none"/>
        </c:marker>
      </c:pivotFmt>
      <c:pivotFmt>
        <c:idx val="103"/>
        <c:marker>
          <c:symbol val="none"/>
        </c:marker>
      </c:pivotFmt>
      <c:pivotFmt>
        <c:idx val="104"/>
        <c:marker>
          <c:symbol val="none"/>
        </c:marker>
      </c:pivotFmt>
      <c:pivotFmt>
        <c:idx val="105"/>
        <c:marker>
          <c:symbol val="none"/>
        </c:marker>
      </c:pivotFmt>
      <c:pivotFmt>
        <c:idx val="106"/>
        <c:marker>
          <c:symbol val="none"/>
        </c:marker>
      </c:pivotFmt>
      <c:pivotFmt>
        <c:idx val="107"/>
        <c:marker>
          <c:symbol val="none"/>
        </c:marker>
      </c:pivotFmt>
      <c:pivotFmt>
        <c:idx val="108"/>
        <c:marker>
          <c:symbol val="none"/>
        </c:marker>
      </c:pivotFmt>
      <c:pivotFmt>
        <c:idx val="109"/>
        <c:marker>
          <c:symbol val="none"/>
        </c:marker>
      </c:pivotFmt>
      <c:pivotFmt>
        <c:idx val="110"/>
        <c:marker>
          <c:symbol val="none"/>
        </c:marker>
      </c:pivotFmt>
      <c:pivotFmt>
        <c:idx val="111"/>
        <c:marker>
          <c:symbol val="none"/>
        </c:marker>
      </c:pivotFmt>
      <c:pivotFmt>
        <c:idx val="112"/>
        <c:marker>
          <c:symbol val="none"/>
        </c:marker>
      </c:pivotFmt>
      <c:pivotFmt>
        <c:idx val="113"/>
        <c:marker>
          <c:symbol val="none"/>
        </c:marker>
      </c:pivotFmt>
      <c:pivotFmt>
        <c:idx val="114"/>
        <c:marker>
          <c:symbol val="none"/>
        </c:marker>
      </c:pivotFmt>
      <c:pivotFmt>
        <c:idx val="115"/>
        <c:marker>
          <c:symbol val="none"/>
        </c:marker>
      </c:pivotFmt>
      <c:pivotFmt>
        <c:idx val="116"/>
        <c:marker>
          <c:symbol val="none"/>
        </c:marker>
      </c:pivotFmt>
      <c:pivotFmt>
        <c:idx val="117"/>
        <c:marker>
          <c:symbol val="none"/>
        </c:marker>
      </c:pivotFmt>
      <c:pivotFmt>
        <c:idx val="118"/>
        <c:marker>
          <c:symbol val="none"/>
        </c:marker>
      </c:pivotFmt>
      <c:pivotFmt>
        <c:idx val="119"/>
        <c:marker>
          <c:symbol val="none"/>
        </c:marker>
      </c:pivotFmt>
      <c:pivotFmt>
        <c:idx val="120"/>
        <c:marker>
          <c:symbol val="none"/>
        </c:marker>
      </c:pivotFmt>
    </c:pivotFmts>
    <c:plotArea>
      <c:layout/>
      <c:barChart>
        <c:barDir val="col"/>
        <c:grouping val="stacked"/>
        <c:varyColors val="0"/>
        <c:ser>
          <c:idx val="0"/>
          <c:order val="0"/>
          <c:tx>
            <c:strRef>
              <c:f>'comparators (3)'!$B$37</c:f>
              <c:strCache>
                <c:ptCount val="1"/>
                <c:pt idx="0">
                  <c:v>Sum of NHS Days</c:v>
                </c:pt>
              </c:strCache>
            </c:strRef>
          </c:tx>
          <c:invertIfNegative val="0"/>
          <c:cat>
            <c:multiLvlStrRef>
              <c:f>'comparators (3)'!$A$38:$A$63</c:f>
              <c:multiLvlStrCache>
                <c:ptCount val="20"/>
                <c:lvl>
                  <c:pt idx="0">
                    <c:v>AUGUST</c:v>
                  </c:pt>
                  <c:pt idx="1">
                    <c:v>SEPTEMBER</c:v>
                  </c:pt>
                  <c:pt idx="2">
                    <c:v>OCTOBER</c:v>
                  </c:pt>
                  <c:pt idx="3">
                    <c:v>NOVEMBER</c:v>
                  </c:pt>
                  <c:pt idx="4">
                    <c:v>AUGUST</c:v>
                  </c:pt>
                  <c:pt idx="5">
                    <c:v>SEPTEMBER</c:v>
                  </c:pt>
                  <c:pt idx="6">
                    <c:v>OCTOBER</c:v>
                  </c:pt>
                  <c:pt idx="7">
                    <c:v>NOVEMBER</c:v>
                  </c:pt>
                  <c:pt idx="8">
                    <c:v>AUGUST</c:v>
                  </c:pt>
                  <c:pt idx="9">
                    <c:v>SEPTEMBER</c:v>
                  </c:pt>
                  <c:pt idx="10">
                    <c:v>OCTOBER</c:v>
                  </c:pt>
                  <c:pt idx="11">
                    <c:v>NOVEMBER</c:v>
                  </c:pt>
                  <c:pt idx="12">
                    <c:v>AUGUST</c:v>
                  </c:pt>
                  <c:pt idx="13">
                    <c:v>SEPTEMBER</c:v>
                  </c:pt>
                  <c:pt idx="14">
                    <c:v>OCTOBER</c:v>
                  </c:pt>
                  <c:pt idx="15">
                    <c:v>NOVEMBER</c:v>
                  </c:pt>
                  <c:pt idx="16">
                    <c:v>AUGUST</c:v>
                  </c:pt>
                  <c:pt idx="17">
                    <c:v>SEPTEMBER</c:v>
                  </c:pt>
                  <c:pt idx="18">
                    <c:v>OCTOBER</c:v>
                  </c:pt>
                  <c:pt idx="19">
                    <c:v>NOVEMBER</c:v>
                  </c:pt>
                </c:lvl>
                <c:lvl>
                  <c:pt idx="0">
                    <c:v>A_COMPLETION_ASSESSMENT</c:v>
                  </c:pt>
                  <c:pt idx="4">
                    <c:v>DI_RESIDENTIAL_HOME</c:v>
                  </c:pt>
                  <c:pt idx="8">
                    <c:v>DII_NURSING_HOME</c:v>
                  </c:pt>
                  <c:pt idx="12">
                    <c:v>E_CARE_PACKAGE_IN_HOME</c:v>
                  </c:pt>
                  <c:pt idx="16">
                    <c:v>G_PATIENT_FAMILY_CHOICE</c:v>
                  </c:pt>
                </c:lvl>
              </c:multiLvlStrCache>
            </c:multiLvlStrRef>
          </c:cat>
          <c:val>
            <c:numRef>
              <c:f>'comparators (3)'!$B$38:$B$63</c:f>
              <c:numCache>
                <c:formatCode>General</c:formatCode>
                <c:ptCount val="20"/>
                <c:pt idx="0">
                  <c:v>419</c:v>
                </c:pt>
                <c:pt idx="1">
                  <c:v>487</c:v>
                </c:pt>
                <c:pt idx="2">
                  <c:v>523</c:v>
                </c:pt>
                <c:pt idx="3">
                  <c:v>505</c:v>
                </c:pt>
                <c:pt idx="4">
                  <c:v>32</c:v>
                </c:pt>
                <c:pt idx="5">
                  <c:v>88</c:v>
                </c:pt>
                <c:pt idx="6">
                  <c:v>78</c:v>
                </c:pt>
                <c:pt idx="7">
                  <c:v>87</c:v>
                </c:pt>
                <c:pt idx="8">
                  <c:v>299</c:v>
                </c:pt>
                <c:pt idx="9">
                  <c:v>312</c:v>
                </c:pt>
                <c:pt idx="10">
                  <c:v>320</c:v>
                </c:pt>
                <c:pt idx="11">
                  <c:v>275</c:v>
                </c:pt>
                <c:pt idx="12">
                  <c:v>84</c:v>
                </c:pt>
                <c:pt idx="13">
                  <c:v>111</c:v>
                </c:pt>
                <c:pt idx="14">
                  <c:v>158</c:v>
                </c:pt>
                <c:pt idx="15">
                  <c:v>133</c:v>
                </c:pt>
                <c:pt idx="16">
                  <c:v>273</c:v>
                </c:pt>
                <c:pt idx="17">
                  <c:v>282</c:v>
                </c:pt>
                <c:pt idx="18">
                  <c:v>402</c:v>
                </c:pt>
                <c:pt idx="19">
                  <c:v>388</c:v>
                </c:pt>
              </c:numCache>
            </c:numRef>
          </c:val>
          <c:extLst>
            <c:ext xmlns:c16="http://schemas.microsoft.com/office/drawing/2014/chart" uri="{C3380CC4-5D6E-409C-BE32-E72D297353CC}">
              <c16:uniqueId val="{00000000-F923-413D-8D0C-991380B942A1}"/>
            </c:ext>
          </c:extLst>
        </c:ser>
        <c:ser>
          <c:idx val="1"/>
          <c:order val="1"/>
          <c:tx>
            <c:strRef>
              <c:f>'comparators (3)'!$C$37</c:f>
              <c:strCache>
                <c:ptCount val="1"/>
                <c:pt idx="0">
                  <c:v>Sum of Social Care Days</c:v>
                </c:pt>
              </c:strCache>
            </c:strRef>
          </c:tx>
          <c:invertIfNegative val="0"/>
          <c:dLbls>
            <c:spPr>
              <a:noFill/>
              <a:ln>
                <a:noFill/>
              </a:ln>
              <a:effectLst/>
            </c:spPr>
            <c:txPr>
              <a:bodyPr wrap="square" lIns="38100" tIns="19050" rIns="38100" bIns="19050" anchor="ctr">
                <a:spAutoFit/>
              </a:bodyPr>
              <a:lstStyle/>
              <a:p>
                <a:pPr>
                  <a:defRPr sz="900"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'comparators (3)'!$A$38:$A$63</c:f>
              <c:multiLvlStrCache>
                <c:ptCount val="20"/>
                <c:lvl>
                  <c:pt idx="0">
                    <c:v>AUGUST</c:v>
                  </c:pt>
                  <c:pt idx="1">
                    <c:v>SEPTEMBER</c:v>
                  </c:pt>
                  <c:pt idx="2">
                    <c:v>OCTOBER</c:v>
                  </c:pt>
                  <c:pt idx="3">
                    <c:v>NOVEMBER</c:v>
                  </c:pt>
                  <c:pt idx="4">
                    <c:v>AUGUST</c:v>
                  </c:pt>
                  <c:pt idx="5">
                    <c:v>SEPTEMBER</c:v>
                  </c:pt>
                  <c:pt idx="6">
                    <c:v>OCTOBER</c:v>
                  </c:pt>
                  <c:pt idx="7">
                    <c:v>NOVEMBER</c:v>
                  </c:pt>
                  <c:pt idx="8">
                    <c:v>AUGUST</c:v>
                  </c:pt>
                  <c:pt idx="9">
                    <c:v>SEPTEMBER</c:v>
                  </c:pt>
                  <c:pt idx="10">
                    <c:v>OCTOBER</c:v>
                  </c:pt>
                  <c:pt idx="11">
                    <c:v>NOVEMBER</c:v>
                  </c:pt>
                  <c:pt idx="12">
                    <c:v>AUGUST</c:v>
                  </c:pt>
                  <c:pt idx="13">
                    <c:v>SEPTEMBER</c:v>
                  </c:pt>
                  <c:pt idx="14">
                    <c:v>OCTOBER</c:v>
                  </c:pt>
                  <c:pt idx="15">
                    <c:v>NOVEMBER</c:v>
                  </c:pt>
                  <c:pt idx="16">
                    <c:v>AUGUST</c:v>
                  </c:pt>
                  <c:pt idx="17">
                    <c:v>SEPTEMBER</c:v>
                  </c:pt>
                  <c:pt idx="18">
                    <c:v>OCTOBER</c:v>
                  </c:pt>
                  <c:pt idx="19">
                    <c:v>NOVEMBER</c:v>
                  </c:pt>
                </c:lvl>
                <c:lvl>
                  <c:pt idx="0">
                    <c:v>A_COMPLETION_ASSESSMENT</c:v>
                  </c:pt>
                  <c:pt idx="4">
                    <c:v>DI_RESIDENTIAL_HOME</c:v>
                  </c:pt>
                  <c:pt idx="8">
                    <c:v>DII_NURSING_HOME</c:v>
                  </c:pt>
                  <c:pt idx="12">
                    <c:v>E_CARE_PACKAGE_IN_HOME</c:v>
                  </c:pt>
                  <c:pt idx="16">
                    <c:v>G_PATIENT_FAMILY_CHOICE</c:v>
                  </c:pt>
                </c:lvl>
              </c:multiLvlStrCache>
            </c:multiLvlStrRef>
          </c:cat>
          <c:val>
            <c:numRef>
              <c:f>'comparators (3)'!$C$38:$C$63</c:f>
              <c:numCache>
                <c:formatCode>General</c:formatCode>
                <c:ptCount val="20"/>
                <c:pt idx="0">
                  <c:v>752</c:v>
                </c:pt>
                <c:pt idx="1">
                  <c:v>583</c:v>
                </c:pt>
                <c:pt idx="2">
                  <c:v>404</c:v>
                </c:pt>
                <c:pt idx="3">
                  <c:v>632</c:v>
                </c:pt>
                <c:pt idx="4">
                  <c:v>505</c:v>
                </c:pt>
                <c:pt idx="5">
                  <c:v>493</c:v>
                </c:pt>
                <c:pt idx="6">
                  <c:v>508</c:v>
                </c:pt>
                <c:pt idx="7">
                  <c:v>437</c:v>
                </c:pt>
                <c:pt idx="8">
                  <c:v>321</c:v>
                </c:pt>
                <c:pt idx="9">
                  <c:v>277</c:v>
                </c:pt>
                <c:pt idx="10">
                  <c:v>313</c:v>
                </c:pt>
                <c:pt idx="11">
                  <c:v>241</c:v>
                </c:pt>
                <c:pt idx="12">
                  <c:v>466</c:v>
                </c:pt>
                <c:pt idx="13">
                  <c:v>616</c:v>
                </c:pt>
                <c:pt idx="14">
                  <c:v>422</c:v>
                </c:pt>
                <c:pt idx="15">
                  <c:v>415</c:v>
                </c:pt>
                <c:pt idx="16">
                  <c:v>131</c:v>
                </c:pt>
                <c:pt idx="17">
                  <c:v>167</c:v>
                </c:pt>
                <c:pt idx="18">
                  <c:v>121</c:v>
                </c:pt>
                <c:pt idx="19">
                  <c:v>117</c:v>
                </c:pt>
              </c:numCache>
            </c:numRef>
          </c:val>
          <c:extLst>
            <c:ext xmlns:c16="http://schemas.microsoft.com/office/drawing/2014/chart" uri="{C3380CC4-5D6E-409C-BE32-E72D297353CC}">
              <c16:uniqueId val="{00000001-F923-413D-8D0C-991380B942A1}"/>
            </c:ext>
          </c:extLst>
        </c:ser>
        <c:ser>
          <c:idx val="2"/>
          <c:order val="2"/>
          <c:tx>
            <c:strRef>
              <c:f>'comparators (3)'!$D$37</c:f>
              <c:strCache>
                <c:ptCount val="1"/>
                <c:pt idx="0">
                  <c:v>Sum of NHS and Social Care Days</c:v>
                </c:pt>
              </c:strCache>
            </c:strRef>
          </c:tx>
          <c:invertIfNegative val="0"/>
          <c:cat>
            <c:multiLvlStrRef>
              <c:f>'comparators (3)'!$A$38:$A$63</c:f>
              <c:multiLvlStrCache>
                <c:ptCount val="20"/>
                <c:lvl>
                  <c:pt idx="0">
                    <c:v>AUGUST</c:v>
                  </c:pt>
                  <c:pt idx="1">
                    <c:v>SEPTEMBER</c:v>
                  </c:pt>
                  <c:pt idx="2">
                    <c:v>OCTOBER</c:v>
                  </c:pt>
                  <c:pt idx="3">
                    <c:v>NOVEMBER</c:v>
                  </c:pt>
                  <c:pt idx="4">
                    <c:v>AUGUST</c:v>
                  </c:pt>
                  <c:pt idx="5">
                    <c:v>SEPTEMBER</c:v>
                  </c:pt>
                  <c:pt idx="6">
                    <c:v>OCTOBER</c:v>
                  </c:pt>
                  <c:pt idx="7">
                    <c:v>NOVEMBER</c:v>
                  </c:pt>
                  <c:pt idx="8">
                    <c:v>AUGUST</c:v>
                  </c:pt>
                  <c:pt idx="9">
                    <c:v>SEPTEMBER</c:v>
                  </c:pt>
                  <c:pt idx="10">
                    <c:v>OCTOBER</c:v>
                  </c:pt>
                  <c:pt idx="11">
                    <c:v>NOVEMBER</c:v>
                  </c:pt>
                  <c:pt idx="12">
                    <c:v>AUGUST</c:v>
                  </c:pt>
                  <c:pt idx="13">
                    <c:v>SEPTEMBER</c:v>
                  </c:pt>
                  <c:pt idx="14">
                    <c:v>OCTOBER</c:v>
                  </c:pt>
                  <c:pt idx="15">
                    <c:v>NOVEMBER</c:v>
                  </c:pt>
                  <c:pt idx="16">
                    <c:v>AUGUST</c:v>
                  </c:pt>
                  <c:pt idx="17">
                    <c:v>SEPTEMBER</c:v>
                  </c:pt>
                  <c:pt idx="18">
                    <c:v>OCTOBER</c:v>
                  </c:pt>
                  <c:pt idx="19">
                    <c:v>NOVEMBER</c:v>
                  </c:pt>
                </c:lvl>
                <c:lvl>
                  <c:pt idx="0">
                    <c:v>A_COMPLETION_ASSESSMENT</c:v>
                  </c:pt>
                  <c:pt idx="4">
                    <c:v>DI_RESIDENTIAL_HOME</c:v>
                  </c:pt>
                  <c:pt idx="8">
                    <c:v>DII_NURSING_HOME</c:v>
                  </c:pt>
                  <c:pt idx="12">
                    <c:v>E_CARE_PACKAGE_IN_HOME</c:v>
                  </c:pt>
                  <c:pt idx="16">
                    <c:v>G_PATIENT_FAMILY_CHOICE</c:v>
                  </c:pt>
                </c:lvl>
              </c:multiLvlStrCache>
            </c:multiLvlStrRef>
          </c:cat>
          <c:val>
            <c:numRef>
              <c:f>'comparators (3)'!$D$38:$D$63</c:f>
              <c:numCache>
                <c:formatCode>General</c:formatCode>
                <c:ptCount val="20"/>
                <c:pt idx="0">
                  <c:v>43</c:v>
                </c:pt>
                <c:pt idx="1">
                  <c:v>118</c:v>
                </c:pt>
                <c:pt idx="2">
                  <c:v>101</c:v>
                </c:pt>
                <c:pt idx="3">
                  <c:v>226</c:v>
                </c:pt>
                <c:pt idx="4">
                  <c:v>0</c:v>
                </c:pt>
                <c:pt idx="5">
                  <c:v>0</c:v>
                </c:pt>
                <c:pt idx="6">
                  <c:v>0</c:v>
                </c:pt>
                <c:pt idx="7">
                  <c:v>0</c:v>
                </c:pt>
                <c:pt idx="8">
                  <c:v>129</c:v>
                </c:pt>
                <c:pt idx="9">
                  <c:v>130</c:v>
                </c:pt>
                <c:pt idx="10">
                  <c:v>125</c:v>
                </c:pt>
                <c:pt idx="11">
                  <c:v>57</c:v>
                </c:pt>
                <c:pt idx="12">
                  <c:v>12</c:v>
                </c:pt>
                <c:pt idx="13">
                  <c:v>28</c:v>
                </c:pt>
                <c:pt idx="14">
                  <c:v>40</c:v>
                </c:pt>
                <c:pt idx="15">
                  <c:v>21</c:v>
                </c:pt>
                <c:pt idx="16">
                  <c:v>0</c:v>
                </c:pt>
                <c:pt idx="17">
                  <c:v>0</c:v>
                </c:pt>
                <c:pt idx="18">
                  <c:v>0</c:v>
                </c:pt>
                <c:pt idx="19">
                  <c:v>0</c:v>
                </c:pt>
              </c:numCache>
            </c:numRef>
          </c:val>
          <c:extLst>
            <c:ext xmlns:c16="http://schemas.microsoft.com/office/drawing/2014/chart" uri="{C3380CC4-5D6E-409C-BE32-E72D297353CC}">
              <c16:uniqueId val="{00000002-F923-413D-8D0C-991380B942A1}"/>
            </c:ext>
          </c:extLst>
        </c:ser>
        <c:dLbls>
          <c:showLegendKey val="0"/>
          <c:showVal val="0"/>
          <c:showCatName val="0"/>
          <c:showSerName val="0"/>
          <c:showPercent val="0"/>
          <c:showBubbleSize val="0"/>
        </c:dLbls>
        <c:gapWidth val="150"/>
        <c:overlap val="100"/>
        <c:axId val="168518976"/>
        <c:axId val="168519368"/>
      </c:barChart>
      <c:catAx>
        <c:axId val="168518976"/>
        <c:scaling>
          <c:orientation val="minMax"/>
        </c:scaling>
        <c:delete val="0"/>
        <c:axPos val="b"/>
        <c:numFmt formatCode="General" sourceLinked="0"/>
        <c:majorTickMark val="out"/>
        <c:minorTickMark val="none"/>
        <c:tickLblPos val="nextTo"/>
        <c:txPr>
          <a:bodyPr/>
          <a:lstStyle/>
          <a:p>
            <a:pPr>
              <a:defRPr sz="800" baseline="0"/>
            </a:pPr>
            <a:endParaRPr lang="en-US"/>
          </a:p>
        </c:txPr>
        <c:crossAx val="168519368"/>
        <c:crosses val="autoZero"/>
        <c:auto val="1"/>
        <c:lblAlgn val="ctr"/>
        <c:lblOffset val="100"/>
        <c:noMultiLvlLbl val="0"/>
      </c:catAx>
      <c:valAx>
        <c:axId val="168519368"/>
        <c:scaling>
          <c:orientation val="minMax"/>
        </c:scaling>
        <c:delete val="0"/>
        <c:axPos val="l"/>
        <c:majorGridlines/>
        <c:numFmt formatCode="General" sourceLinked="1"/>
        <c:majorTickMark val="out"/>
        <c:minorTickMark val="none"/>
        <c:tickLblPos val="nextTo"/>
        <c:crossAx val="168518976"/>
        <c:crosses val="autoZero"/>
        <c:crossBetween val="between"/>
      </c:valAx>
    </c:plotArea>
    <c:legend>
      <c:legendPos val="b"/>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2015_16 to 2017_18 revised1.xlsx]comparators (5)!PivotTable2</c:name>
    <c:fmtId val="591"/>
  </c:pivotSource>
  <c:chart>
    <c:title>
      <c:tx>
        <c:rich>
          <a:bodyPr/>
          <a:lstStyle/>
          <a:p>
            <a:pPr>
              <a:defRPr/>
            </a:pPr>
            <a:r>
              <a:rPr lang="en-GB" sz="1200" b="1" i="0" baseline="0">
                <a:effectLst/>
              </a:rPr>
              <a:t>Assessment Completion delays attributable to social care </a:t>
            </a:r>
            <a:endParaRPr lang="en-GB" sz="1200">
              <a:effectLst/>
            </a:endParaRPr>
          </a:p>
          <a:p>
            <a:pPr>
              <a:defRPr/>
            </a:pPr>
            <a:r>
              <a:rPr lang="en-GB" sz="1200" b="1" i="0" baseline="0">
                <a:effectLst/>
              </a:rPr>
              <a:t>Jul-17 to Nov-17 - Lancashire residents</a:t>
            </a:r>
            <a:endParaRPr lang="en-GB" sz="1200">
              <a:effectLst/>
            </a:endParaRPr>
          </a:p>
        </c:rich>
      </c:tx>
      <c:layout>
        <c:manualLayout>
          <c:xMode val="edge"/>
          <c:yMode val="edge"/>
          <c:x val="0.17878013862457881"/>
          <c:y val="4.6941016645916281E-2"/>
        </c:manualLayout>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pivotFmt>
      <c:pivotFmt>
        <c:idx val="102"/>
        <c:marker>
          <c:symbol val="none"/>
        </c:marker>
      </c:pivotFmt>
      <c:pivotFmt>
        <c:idx val="103"/>
        <c:marker>
          <c:symbol val="none"/>
        </c:marker>
      </c:pivotFmt>
      <c:pivotFmt>
        <c:idx val="104"/>
        <c:marker>
          <c:symbol val="none"/>
        </c:marker>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marker>
          <c:symbol val="none"/>
        </c:marker>
      </c:pivotFmt>
      <c:pivotFmt>
        <c:idx val="124"/>
        <c:marker>
          <c:symbol val="none"/>
        </c:marker>
      </c:pivotFmt>
      <c:pivotFmt>
        <c:idx val="125"/>
        <c:marker>
          <c:symbol val="none"/>
        </c:marker>
      </c:pivotFmt>
      <c:pivotFmt>
        <c:idx val="126"/>
        <c:marker>
          <c:symbol val="none"/>
        </c:marker>
      </c:pivotFmt>
      <c:pivotFmt>
        <c:idx val="127"/>
        <c:marker>
          <c:symbol val="none"/>
        </c:marker>
      </c:pivotFmt>
      <c:pivotFmt>
        <c:idx val="128"/>
        <c:marker>
          <c:symbol val="none"/>
        </c:marker>
      </c:pivotFmt>
      <c:pivotFmt>
        <c:idx val="129"/>
        <c:marker>
          <c:symbol val="none"/>
        </c:marker>
      </c:pivotFmt>
      <c:pivotFmt>
        <c:idx val="130"/>
        <c:marker>
          <c:symbol val="none"/>
        </c:marker>
      </c:pivotFmt>
      <c:pivotFmt>
        <c:idx val="131"/>
        <c:marker>
          <c:symbol val="none"/>
        </c:marker>
      </c:pivotFmt>
      <c:pivotFmt>
        <c:idx val="132"/>
        <c:marker>
          <c:symbol val="none"/>
        </c:marker>
      </c:pivotFmt>
      <c:pivotFmt>
        <c:idx val="133"/>
        <c:marker>
          <c:symbol val="none"/>
        </c:marker>
      </c:pivotFmt>
      <c:pivotFmt>
        <c:idx val="134"/>
        <c:marker>
          <c:symbol val="none"/>
        </c:marker>
      </c:pivotFmt>
      <c:pivotFmt>
        <c:idx val="135"/>
        <c:marker>
          <c:symbol val="none"/>
        </c:marker>
      </c:pivotFmt>
      <c:pivotFmt>
        <c:idx val="136"/>
        <c:marker>
          <c:symbol val="none"/>
        </c:marker>
      </c:pivotFmt>
      <c:pivotFmt>
        <c:idx val="137"/>
        <c:marker>
          <c:symbol val="none"/>
        </c:marker>
      </c:pivotFmt>
      <c:pivotFmt>
        <c:idx val="138"/>
        <c:marker>
          <c:symbol val="none"/>
        </c:marker>
      </c:pivotFmt>
      <c:pivotFmt>
        <c:idx val="139"/>
        <c:marker>
          <c:symbol val="none"/>
        </c:marker>
      </c:pivotFmt>
      <c:pivotFmt>
        <c:idx val="140"/>
        <c:marker>
          <c:symbol val="none"/>
        </c:marker>
      </c:pivotFmt>
      <c:pivotFmt>
        <c:idx val="141"/>
        <c:marker>
          <c:symbol val="none"/>
        </c:marker>
      </c:pivotFmt>
      <c:pivotFmt>
        <c:idx val="142"/>
        <c:marker>
          <c:symbol val="none"/>
        </c:marker>
      </c:pivotFmt>
      <c:pivotFmt>
        <c:idx val="143"/>
        <c:marker>
          <c:symbol val="none"/>
        </c:marker>
      </c:pivotFmt>
      <c:pivotFmt>
        <c:idx val="144"/>
        <c:marker>
          <c:symbol val="none"/>
        </c:marker>
      </c:pivotFmt>
      <c:pivotFmt>
        <c:idx val="145"/>
        <c:marker>
          <c:symbol val="none"/>
        </c:marker>
      </c:pivotFmt>
      <c:pivotFmt>
        <c:idx val="146"/>
        <c:marker>
          <c:symbol val="none"/>
        </c:marker>
      </c:pivotFmt>
      <c:pivotFmt>
        <c:idx val="147"/>
        <c:marker>
          <c:symbol val="none"/>
        </c:marker>
      </c:pivotFmt>
      <c:pivotFmt>
        <c:idx val="148"/>
        <c:marker>
          <c:symbol val="none"/>
        </c:marker>
      </c:pivotFmt>
      <c:pivotFmt>
        <c:idx val="149"/>
        <c:marker>
          <c:symbol val="none"/>
        </c:marker>
      </c:pivotFmt>
      <c:pivotFmt>
        <c:idx val="150"/>
        <c:marker>
          <c:symbol val="none"/>
        </c:marker>
      </c:pivotFmt>
      <c:pivotFmt>
        <c:idx val="151"/>
        <c:marker>
          <c:symbol val="none"/>
        </c:marker>
      </c:pivotFmt>
      <c:pivotFmt>
        <c:idx val="152"/>
        <c:marker>
          <c:symbol val="none"/>
        </c:marker>
      </c:pivotFmt>
      <c:pivotFmt>
        <c:idx val="153"/>
        <c:marker>
          <c:symbol val="none"/>
        </c:marker>
      </c:pivotFmt>
      <c:pivotFmt>
        <c:idx val="154"/>
        <c:marker>
          <c:symbol val="none"/>
        </c:marker>
      </c:pivotFmt>
      <c:pivotFmt>
        <c:idx val="155"/>
        <c:marker>
          <c:symbol val="none"/>
        </c:marker>
      </c:pivotFmt>
      <c:pivotFmt>
        <c:idx val="156"/>
        <c:marker>
          <c:symbol val="none"/>
        </c:marker>
      </c:pivotFmt>
      <c:pivotFmt>
        <c:idx val="157"/>
        <c:marker>
          <c:symbol val="none"/>
        </c:marker>
      </c:pivotFmt>
      <c:pivotFmt>
        <c:idx val="158"/>
        <c:marker>
          <c:symbol val="none"/>
        </c:marker>
      </c:pivotFmt>
      <c:pivotFmt>
        <c:idx val="159"/>
        <c:marker>
          <c:symbol val="none"/>
        </c:marker>
      </c:pivotFmt>
      <c:pivotFmt>
        <c:idx val="160"/>
        <c:marker>
          <c:symbol val="none"/>
        </c:marker>
      </c:pivotFmt>
      <c:pivotFmt>
        <c:idx val="161"/>
        <c:marker>
          <c:symbol val="none"/>
        </c:marker>
      </c:pivotFmt>
      <c:pivotFmt>
        <c:idx val="162"/>
        <c:marker>
          <c:symbol val="none"/>
        </c:marker>
      </c:pivotFmt>
      <c:pivotFmt>
        <c:idx val="163"/>
        <c:marker>
          <c:symbol val="none"/>
        </c:marker>
      </c:pivotFmt>
      <c:pivotFmt>
        <c:idx val="164"/>
        <c:marker>
          <c:symbol val="none"/>
        </c:marker>
      </c:pivotFmt>
      <c:pivotFmt>
        <c:idx val="165"/>
        <c:marker>
          <c:symbol val="none"/>
        </c:marker>
      </c:pivotFmt>
      <c:pivotFmt>
        <c:idx val="166"/>
        <c:marker>
          <c:symbol val="none"/>
        </c:marker>
      </c:pivotFmt>
      <c:pivotFmt>
        <c:idx val="167"/>
        <c:marker>
          <c:symbol val="none"/>
        </c:marker>
      </c:pivotFmt>
      <c:pivotFmt>
        <c:idx val="168"/>
        <c:marker>
          <c:symbol val="none"/>
        </c:marker>
      </c:pivotFmt>
      <c:pivotFmt>
        <c:idx val="169"/>
        <c:marker>
          <c:symbol val="none"/>
        </c:marker>
      </c:pivotFmt>
      <c:pivotFmt>
        <c:idx val="170"/>
        <c:marker>
          <c:symbol val="none"/>
        </c:marker>
      </c:pivotFmt>
      <c:pivotFmt>
        <c:idx val="171"/>
        <c:marker>
          <c:symbol val="none"/>
        </c:marker>
      </c:pivotFmt>
      <c:pivotFmt>
        <c:idx val="172"/>
        <c:marker>
          <c:symbol val="none"/>
        </c:marker>
      </c:pivotFmt>
      <c:pivotFmt>
        <c:idx val="173"/>
        <c:marker>
          <c:symbol val="none"/>
        </c:marker>
      </c:pivotFmt>
      <c:pivotFmt>
        <c:idx val="174"/>
        <c:marker>
          <c:symbol val="none"/>
        </c:marker>
      </c:pivotFmt>
      <c:pivotFmt>
        <c:idx val="175"/>
        <c:marker>
          <c:symbol val="none"/>
        </c:marker>
      </c:pivotFmt>
      <c:pivotFmt>
        <c:idx val="176"/>
        <c:marker>
          <c:symbol val="none"/>
        </c:marker>
      </c:pivotFmt>
      <c:pivotFmt>
        <c:idx val="177"/>
        <c:marker>
          <c:symbol val="none"/>
        </c:marker>
      </c:pivotFmt>
      <c:pivotFmt>
        <c:idx val="178"/>
        <c:marker>
          <c:symbol val="none"/>
        </c:marker>
      </c:pivotFmt>
      <c:pivotFmt>
        <c:idx val="179"/>
        <c:marker>
          <c:symbol val="none"/>
        </c:marker>
      </c:pivotFmt>
      <c:pivotFmt>
        <c:idx val="180"/>
        <c:marker>
          <c:symbol val="none"/>
        </c:marker>
      </c:pivotFmt>
      <c:pivotFmt>
        <c:idx val="181"/>
        <c:marker>
          <c:symbol val="none"/>
        </c:marker>
      </c:pivotFmt>
      <c:pivotFmt>
        <c:idx val="182"/>
        <c:marker>
          <c:symbol val="none"/>
        </c:marker>
      </c:pivotFmt>
      <c:pivotFmt>
        <c:idx val="183"/>
        <c:marker>
          <c:symbol val="none"/>
        </c:marker>
      </c:pivotFmt>
      <c:pivotFmt>
        <c:idx val="184"/>
        <c:marker>
          <c:symbol val="none"/>
        </c:marker>
      </c:pivotFmt>
      <c:pivotFmt>
        <c:idx val="185"/>
        <c:marker>
          <c:symbol val="none"/>
        </c:marker>
      </c:pivotFmt>
      <c:pivotFmt>
        <c:idx val="186"/>
        <c:marker>
          <c:symbol val="none"/>
        </c:marker>
      </c:pivotFmt>
      <c:pivotFmt>
        <c:idx val="187"/>
        <c:marker>
          <c:symbol val="none"/>
        </c:marker>
      </c:pivotFmt>
      <c:pivotFmt>
        <c:idx val="188"/>
        <c:marker>
          <c:symbol val="none"/>
        </c:marker>
      </c:pivotFmt>
      <c:pivotFmt>
        <c:idx val="189"/>
        <c:marker>
          <c:symbol val="none"/>
        </c:marker>
      </c:pivotFmt>
      <c:pivotFmt>
        <c:idx val="190"/>
        <c:marker>
          <c:symbol val="none"/>
        </c:marker>
      </c:pivotFmt>
      <c:pivotFmt>
        <c:idx val="191"/>
        <c:marker>
          <c:symbol val="none"/>
        </c:marker>
      </c:pivotFmt>
      <c:pivotFmt>
        <c:idx val="192"/>
        <c:marker>
          <c:symbol val="none"/>
        </c:marker>
      </c:pivotFmt>
      <c:pivotFmt>
        <c:idx val="193"/>
        <c:marker>
          <c:symbol val="none"/>
        </c:marker>
      </c:pivotFmt>
      <c:pivotFmt>
        <c:idx val="194"/>
        <c:marker>
          <c:symbol val="none"/>
        </c:marker>
      </c:pivotFmt>
      <c:pivotFmt>
        <c:idx val="195"/>
        <c:marker>
          <c:symbol val="none"/>
        </c:marker>
      </c:pivotFmt>
      <c:pivotFmt>
        <c:idx val="196"/>
        <c:marker>
          <c:symbol val="none"/>
        </c:marker>
      </c:pivotFmt>
      <c:pivotFmt>
        <c:idx val="197"/>
        <c:marker>
          <c:symbol val="none"/>
        </c:marker>
      </c:pivotFmt>
      <c:pivotFmt>
        <c:idx val="198"/>
        <c:marker>
          <c:symbol val="none"/>
        </c:marker>
      </c:pivotFmt>
      <c:pivotFmt>
        <c:idx val="199"/>
        <c:marker>
          <c:symbol val="none"/>
        </c:marker>
      </c:pivotFmt>
      <c:pivotFmt>
        <c:idx val="200"/>
        <c:marker>
          <c:symbol val="none"/>
        </c:marker>
      </c:pivotFmt>
      <c:pivotFmt>
        <c:idx val="201"/>
        <c:marker>
          <c:symbol val="none"/>
        </c:marker>
      </c:pivotFmt>
      <c:pivotFmt>
        <c:idx val="202"/>
        <c:marker>
          <c:symbol val="none"/>
        </c:marker>
      </c:pivotFmt>
      <c:pivotFmt>
        <c:idx val="203"/>
        <c:marker>
          <c:symbol val="none"/>
        </c:marker>
      </c:pivotFmt>
      <c:pivotFmt>
        <c:idx val="204"/>
        <c:marker>
          <c:symbol val="none"/>
        </c:marker>
      </c:pivotFmt>
      <c:pivotFmt>
        <c:idx val="205"/>
        <c:marker>
          <c:symbol val="none"/>
        </c:marker>
      </c:pivotFmt>
      <c:pivotFmt>
        <c:idx val="206"/>
        <c:marker>
          <c:symbol val="none"/>
        </c:marker>
      </c:pivotFmt>
      <c:pivotFmt>
        <c:idx val="207"/>
        <c:marker>
          <c:symbol val="none"/>
        </c:marker>
      </c:pivotFmt>
      <c:pivotFmt>
        <c:idx val="208"/>
        <c:marker>
          <c:symbol val="none"/>
        </c:marker>
      </c:pivotFmt>
      <c:pivotFmt>
        <c:idx val="209"/>
        <c:marker>
          <c:symbol val="none"/>
        </c:marker>
      </c:pivotFmt>
      <c:pivotFmt>
        <c:idx val="210"/>
        <c:marker>
          <c:symbol val="none"/>
        </c:marker>
      </c:pivotFmt>
      <c:pivotFmt>
        <c:idx val="211"/>
        <c:marker>
          <c:symbol val="none"/>
        </c:marker>
      </c:pivotFmt>
      <c:pivotFmt>
        <c:idx val="212"/>
        <c:marker>
          <c:symbol val="none"/>
        </c:marker>
      </c:pivotFmt>
      <c:pivotFmt>
        <c:idx val="213"/>
        <c:marker>
          <c:symbol val="none"/>
        </c:marker>
      </c:pivotFmt>
      <c:pivotFmt>
        <c:idx val="214"/>
        <c:marker>
          <c:symbol val="none"/>
        </c:marker>
      </c:pivotFmt>
      <c:pivotFmt>
        <c:idx val="215"/>
        <c:marker>
          <c:symbol val="none"/>
        </c:marker>
      </c:pivotFmt>
      <c:pivotFmt>
        <c:idx val="216"/>
        <c:marker>
          <c:symbol val="none"/>
        </c:marker>
      </c:pivotFmt>
      <c:pivotFmt>
        <c:idx val="217"/>
        <c:marker>
          <c:symbol val="none"/>
        </c:marker>
      </c:pivotFmt>
      <c:pivotFmt>
        <c:idx val="218"/>
        <c:marker>
          <c:symbol val="none"/>
        </c:marker>
      </c:pivotFmt>
      <c:pivotFmt>
        <c:idx val="219"/>
        <c:marker>
          <c:symbol val="none"/>
        </c:marker>
      </c:pivotFmt>
      <c:pivotFmt>
        <c:idx val="220"/>
        <c:marker>
          <c:symbol val="none"/>
        </c:marker>
      </c:pivotFmt>
      <c:pivotFmt>
        <c:idx val="221"/>
        <c:marker>
          <c:symbol val="none"/>
        </c:marker>
      </c:pivotFmt>
      <c:pivotFmt>
        <c:idx val="222"/>
        <c:marker>
          <c:symbol val="none"/>
        </c:marker>
      </c:pivotFmt>
      <c:pivotFmt>
        <c:idx val="223"/>
        <c:marker>
          <c:symbol val="none"/>
        </c:marker>
      </c:pivotFmt>
      <c:pivotFmt>
        <c:idx val="224"/>
        <c:marker>
          <c:symbol val="none"/>
        </c:marker>
      </c:pivotFmt>
      <c:pivotFmt>
        <c:idx val="225"/>
        <c:marker>
          <c:symbol val="none"/>
        </c:marker>
      </c:pivotFmt>
      <c:pivotFmt>
        <c:idx val="226"/>
        <c:marker>
          <c:symbol val="none"/>
        </c:marker>
      </c:pivotFmt>
      <c:pivotFmt>
        <c:idx val="227"/>
        <c:marker>
          <c:symbol val="none"/>
        </c:marker>
      </c:pivotFmt>
      <c:pivotFmt>
        <c:idx val="228"/>
        <c:marker>
          <c:symbol val="none"/>
        </c:marker>
      </c:pivotFmt>
      <c:pivotFmt>
        <c:idx val="229"/>
        <c:marker>
          <c:symbol val="none"/>
        </c:marker>
      </c:pivotFmt>
      <c:pivotFmt>
        <c:idx val="230"/>
        <c:marker>
          <c:symbol val="none"/>
        </c:marker>
      </c:pivotFmt>
      <c:pivotFmt>
        <c:idx val="231"/>
        <c:marker>
          <c:symbol val="none"/>
        </c:marker>
      </c:pivotFmt>
      <c:pivotFmt>
        <c:idx val="232"/>
        <c:marker>
          <c:symbol val="none"/>
        </c:marker>
      </c:pivotFmt>
      <c:pivotFmt>
        <c:idx val="233"/>
        <c:marker>
          <c:symbol val="none"/>
        </c:marker>
      </c:pivotFmt>
      <c:pivotFmt>
        <c:idx val="234"/>
        <c:marker>
          <c:symbol val="none"/>
        </c:marker>
      </c:pivotFmt>
      <c:pivotFmt>
        <c:idx val="235"/>
        <c:marker>
          <c:symbol val="none"/>
        </c:marker>
      </c:pivotFmt>
      <c:pivotFmt>
        <c:idx val="236"/>
        <c:marker>
          <c:symbol val="none"/>
        </c:marker>
      </c:pivotFmt>
      <c:pivotFmt>
        <c:idx val="237"/>
        <c:marker>
          <c:symbol val="none"/>
        </c:marker>
      </c:pivotFmt>
      <c:pivotFmt>
        <c:idx val="238"/>
        <c:marker>
          <c:symbol val="none"/>
        </c:marker>
      </c:pivotFmt>
      <c:pivotFmt>
        <c:idx val="239"/>
        <c:marker>
          <c:symbol val="none"/>
        </c:marker>
      </c:pivotFmt>
      <c:pivotFmt>
        <c:idx val="240"/>
        <c:marker>
          <c:symbol val="none"/>
        </c:marker>
      </c:pivotFmt>
      <c:pivotFmt>
        <c:idx val="241"/>
        <c:marker>
          <c:symbol val="none"/>
        </c:marker>
      </c:pivotFmt>
      <c:pivotFmt>
        <c:idx val="242"/>
        <c:marker>
          <c:symbol val="none"/>
        </c:marker>
      </c:pivotFmt>
      <c:pivotFmt>
        <c:idx val="243"/>
        <c:marker>
          <c:symbol val="none"/>
        </c:marker>
      </c:pivotFmt>
      <c:pivotFmt>
        <c:idx val="244"/>
        <c:marker>
          <c:symbol val="none"/>
        </c:marker>
      </c:pivotFmt>
      <c:pivotFmt>
        <c:idx val="245"/>
        <c:marker>
          <c:symbol val="none"/>
        </c:marker>
      </c:pivotFmt>
      <c:pivotFmt>
        <c:idx val="246"/>
        <c:marker>
          <c:symbol val="none"/>
        </c:marker>
      </c:pivotFmt>
      <c:pivotFmt>
        <c:idx val="247"/>
        <c:marker>
          <c:symbol val="none"/>
        </c:marker>
      </c:pivotFmt>
      <c:pivotFmt>
        <c:idx val="248"/>
        <c:marker>
          <c:symbol val="none"/>
        </c:marker>
      </c:pivotFmt>
      <c:pivotFmt>
        <c:idx val="249"/>
        <c:marker>
          <c:symbol val="none"/>
        </c:marker>
      </c:pivotFmt>
      <c:pivotFmt>
        <c:idx val="250"/>
        <c:marker>
          <c:symbol val="none"/>
        </c:marker>
      </c:pivotFmt>
      <c:pivotFmt>
        <c:idx val="251"/>
        <c:marker>
          <c:symbol val="none"/>
        </c:marker>
      </c:pivotFmt>
      <c:pivotFmt>
        <c:idx val="252"/>
        <c:marker>
          <c:symbol val="none"/>
        </c:marker>
      </c:pivotFmt>
      <c:pivotFmt>
        <c:idx val="253"/>
        <c:marker>
          <c:symbol val="none"/>
        </c:marker>
      </c:pivotFmt>
      <c:pivotFmt>
        <c:idx val="254"/>
        <c:marker>
          <c:symbol val="none"/>
        </c:marker>
      </c:pivotFmt>
      <c:pivotFmt>
        <c:idx val="255"/>
        <c:marker>
          <c:symbol val="none"/>
        </c:marker>
      </c:pivotFmt>
      <c:pivotFmt>
        <c:idx val="256"/>
        <c:marker>
          <c:symbol val="none"/>
        </c:marker>
      </c:pivotFmt>
      <c:pivotFmt>
        <c:idx val="257"/>
        <c:marker>
          <c:symbol val="none"/>
        </c:marker>
      </c:pivotFmt>
      <c:pivotFmt>
        <c:idx val="258"/>
        <c:marker>
          <c:symbol val="none"/>
        </c:marker>
      </c:pivotFmt>
      <c:pivotFmt>
        <c:idx val="259"/>
        <c:marker>
          <c:symbol val="none"/>
        </c:marker>
      </c:pivotFmt>
      <c:pivotFmt>
        <c:idx val="260"/>
        <c:marker>
          <c:symbol val="none"/>
        </c:marker>
      </c:pivotFmt>
      <c:pivotFmt>
        <c:idx val="261"/>
        <c:marker>
          <c:symbol val="none"/>
        </c:marker>
      </c:pivotFmt>
      <c:pivotFmt>
        <c:idx val="262"/>
        <c:marker>
          <c:symbol val="none"/>
        </c:marker>
      </c:pivotFmt>
      <c:pivotFmt>
        <c:idx val="263"/>
        <c:marker>
          <c:symbol val="none"/>
        </c:marker>
      </c:pivotFmt>
      <c:pivotFmt>
        <c:idx val="264"/>
        <c:marker>
          <c:symbol val="none"/>
        </c:marker>
      </c:pivotFmt>
      <c:pivotFmt>
        <c:idx val="265"/>
        <c:marker>
          <c:symbol val="none"/>
        </c:marker>
      </c:pivotFmt>
      <c:pivotFmt>
        <c:idx val="266"/>
        <c:marker>
          <c:symbol val="none"/>
        </c:marker>
      </c:pivotFmt>
      <c:pivotFmt>
        <c:idx val="267"/>
        <c:marker>
          <c:symbol val="none"/>
        </c:marker>
      </c:pivotFmt>
      <c:pivotFmt>
        <c:idx val="268"/>
        <c:marker>
          <c:symbol val="none"/>
        </c:marker>
      </c:pivotFmt>
      <c:pivotFmt>
        <c:idx val="269"/>
        <c:marker>
          <c:symbol val="none"/>
        </c:marker>
      </c:pivotFmt>
      <c:pivotFmt>
        <c:idx val="270"/>
        <c:marker>
          <c:symbol val="none"/>
        </c:marker>
      </c:pivotFmt>
      <c:pivotFmt>
        <c:idx val="271"/>
        <c:marker>
          <c:symbol val="none"/>
        </c:marker>
      </c:pivotFmt>
      <c:pivotFmt>
        <c:idx val="272"/>
        <c:marker>
          <c:symbol val="none"/>
        </c:marker>
      </c:pivotFmt>
      <c:pivotFmt>
        <c:idx val="273"/>
        <c:marker>
          <c:symbol val="none"/>
        </c:marker>
      </c:pivotFmt>
      <c:pivotFmt>
        <c:idx val="274"/>
        <c:marker>
          <c:symbol val="none"/>
        </c:marker>
      </c:pivotFmt>
      <c:pivotFmt>
        <c:idx val="275"/>
        <c:marker>
          <c:symbol val="none"/>
        </c:marker>
      </c:pivotFmt>
      <c:pivotFmt>
        <c:idx val="276"/>
        <c:marker>
          <c:symbol val="none"/>
        </c:marker>
      </c:pivotFmt>
      <c:pivotFmt>
        <c:idx val="277"/>
        <c:marker>
          <c:symbol val="none"/>
        </c:marker>
      </c:pivotFmt>
      <c:pivotFmt>
        <c:idx val="278"/>
        <c:marker>
          <c:symbol val="none"/>
        </c:marker>
      </c:pivotFmt>
      <c:pivotFmt>
        <c:idx val="279"/>
        <c:marker>
          <c:symbol val="none"/>
        </c:marker>
      </c:pivotFmt>
      <c:pivotFmt>
        <c:idx val="280"/>
        <c:marker>
          <c:symbol val="none"/>
        </c:marker>
      </c:pivotFmt>
      <c:pivotFmt>
        <c:idx val="281"/>
        <c:marker>
          <c:symbol val="none"/>
        </c:marker>
      </c:pivotFmt>
      <c:pivotFmt>
        <c:idx val="282"/>
        <c:marker>
          <c:symbol val="none"/>
        </c:marker>
      </c:pivotFmt>
      <c:pivotFmt>
        <c:idx val="283"/>
        <c:marker>
          <c:symbol val="none"/>
        </c:marker>
      </c:pivotFmt>
      <c:pivotFmt>
        <c:idx val="284"/>
        <c:marker>
          <c:symbol val="none"/>
        </c:marker>
      </c:pivotFmt>
      <c:pivotFmt>
        <c:idx val="285"/>
        <c:marker>
          <c:symbol val="none"/>
        </c:marker>
      </c:pivotFmt>
      <c:pivotFmt>
        <c:idx val="286"/>
        <c:marker>
          <c:symbol val="none"/>
        </c:marker>
      </c:pivotFmt>
      <c:pivotFmt>
        <c:idx val="287"/>
        <c:marker>
          <c:symbol val="none"/>
        </c:marker>
      </c:pivotFmt>
      <c:pivotFmt>
        <c:idx val="288"/>
        <c:marker>
          <c:symbol val="none"/>
        </c:marker>
      </c:pivotFmt>
      <c:pivotFmt>
        <c:idx val="289"/>
        <c:marker>
          <c:symbol val="none"/>
        </c:marker>
      </c:pivotFmt>
      <c:pivotFmt>
        <c:idx val="290"/>
        <c:marker>
          <c:symbol val="none"/>
        </c:marker>
      </c:pivotFmt>
      <c:pivotFmt>
        <c:idx val="291"/>
        <c:marker>
          <c:symbol val="none"/>
        </c:marker>
      </c:pivotFmt>
      <c:pivotFmt>
        <c:idx val="292"/>
        <c:marker>
          <c:symbol val="none"/>
        </c:marker>
      </c:pivotFmt>
      <c:pivotFmt>
        <c:idx val="293"/>
        <c:marker>
          <c:symbol val="none"/>
        </c:marker>
      </c:pivotFmt>
      <c:pivotFmt>
        <c:idx val="294"/>
        <c:marker>
          <c:symbol val="none"/>
        </c:marker>
      </c:pivotFmt>
      <c:pivotFmt>
        <c:idx val="295"/>
        <c:marker>
          <c:symbol val="none"/>
        </c:marker>
      </c:pivotFmt>
      <c:pivotFmt>
        <c:idx val="296"/>
        <c:marker>
          <c:symbol val="none"/>
        </c:marker>
      </c:pivotFmt>
      <c:pivotFmt>
        <c:idx val="297"/>
        <c:marker>
          <c:symbol val="none"/>
        </c:marker>
      </c:pivotFmt>
      <c:pivotFmt>
        <c:idx val="298"/>
        <c:marker>
          <c:symbol val="none"/>
        </c:marker>
      </c:pivotFmt>
      <c:pivotFmt>
        <c:idx val="299"/>
        <c:marker>
          <c:symbol val="none"/>
        </c:marker>
      </c:pivotFmt>
      <c:pivotFmt>
        <c:idx val="300"/>
        <c:marker>
          <c:symbol val="none"/>
        </c:marker>
      </c:pivotFmt>
      <c:pivotFmt>
        <c:idx val="301"/>
        <c:marker>
          <c:symbol val="none"/>
        </c:marker>
      </c:pivotFmt>
      <c:pivotFmt>
        <c:idx val="302"/>
        <c:marker>
          <c:symbol val="none"/>
        </c:marker>
      </c:pivotFmt>
      <c:pivotFmt>
        <c:idx val="303"/>
        <c:marker>
          <c:symbol val="none"/>
        </c:marker>
      </c:pivotFmt>
      <c:pivotFmt>
        <c:idx val="304"/>
        <c:marker>
          <c:symbol val="none"/>
        </c:marker>
      </c:pivotFmt>
      <c:pivotFmt>
        <c:idx val="305"/>
        <c:marker>
          <c:symbol val="none"/>
        </c:marker>
      </c:pivotFmt>
      <c:pivotFmt>
        <c:idx val="306"/>
        <c:marker>
          <c:symbol val="none"/>
        </c:marker>
      </c:pivotFmt>
      <c:pivotFmt>
        <c:idx val="307"/>
        <c:marker>
          <c:symbol val="none"/>
        </c:marker>
      </c:pivotFmt>
      <c:pivotFmt>
        <c:idx val="308"/>
        <c:marker>
          <c:symbol val="none"/>
        </c:marker>
      </c:pivotFmt>
      <c:pivotFmt>
        <c:idx val="309"/>
        <c:marker>
          <c:symbol val="none"/>
        </c:marker>
      </c:pivotFmt>
      <c:pivotFmt>
        <c:idx val="310"/>
        <c:marker>
          <c:symbol val="none"/>
        </c:marker>
      </c:pivotFmt>
      <c:pivotFmt>
        <c:idx val="311"/>
        <c:marker>
          <c:symbol val="none"/>
        </c:marker>
      </c:pivotFmt>
      <c:pivotFmt>
        <c:idx val="312"/>
        <c:marker>
          <c:symbol val="none"/>
        </c:marker>
      </c:pivotFmt>
      <c:pivotFmt>
        <c:idx val="313"/>
        <c:marker>
          <c:symbol val="none"/>
        </c:marker>
      </c:pivotFmt>
      <c:pivotFmt>
        <c:idx val="314"/>
        <c:marker>
          <c:symbol val="none"/>
        </c:marker>
      </c:pivotFmt>
      <c:pivotFmt>
        <c:idx val="315"/>
        <c:marker>
          <c:symbol val="none"/>
        </c:marker>
      </c:pivotFmt>
      <c:pivotFmt>
        <c:idx val="316"/>
        <c:marker>
          <c:symbol val="none"/>
        </c:marker>
      </c:pivotFmt>
      <c:pivotFmt>
        <c:idx val="317"/>
        <c:marker>
          <c:symbol val="none"/>
        </c:marker>
      </c:pivotFmt>
      <c:pivotFmt>
        <c:idx val="318"/>
        <c:marker>
          <c:symbol val="none"/>
        </c:marker>
      </c:pivotFmt>
      <c:pivotFmt>
        <c:idx val="319"/>
        <c:marker>
          <c:symbol val="none"/>
        </c:marker>
      </c:pivotFmt>
      <c:pivotFmt>
        <c:idx val="320"/>
        <c:marker>
          <c:symbol val="none"/>
        </c:marker>
      </c:pivotFmt>
      <c:pivotFmt>
        <c:idx val="321"/>
        <c:marker>
          <c:symbol val="none"/>
        </c:marker>
      </c:pivotFmt>
      <c:pivotFmt>
        <c:idx val="322"/>
        <c:marker>
          <c:symbol val="none"/>
        </c:marker>
      </c:pivotFmt>
      <c:pivotFmt>
        <c:idx val="323"/>
        <c:marker>
          <c:symbol val="none"/>
        </c:marker>
      </c:pivotFmt>
      <c:pivotFmt>
        <c:idx val="324"/>
        <c:marker>
          <c:symbol val="none"/>
        </c:marker>
      </c:pivotFmt>
      <c:pivotFmt>
        <c:idx val="325"/>
        <c:marker>
          <c:symbol val="none"/>
        </c:marker>
      </c:pivotFmt>
      <c:pivotFmt>
        <c:idx val="326"/>
        <c:marker>
          <c:symbol val="none"/>
        </c:marker>
      </c:pivotFmt>
      <c:pivotFmt>
        <c:idx val="327"/>
        <c:marker>
          <c:symbol val="none"/>
        </c:marker>
      </c:pivotFmt>
      <c:pivotFmt>
        <c:idx val="328"/>
        <c:marker>
          <c:symbol val="none"/>
        </c:marker>
      </c:pivotFmt>
      <c:pivotFmt>
        <c:idx val="329"/>
        <c:marker>
          <c:symbol val="none"/>
        </c:marker>
      </c:pivotFmt>
      <c:pivotFmt>
        <c:idx val="330"/>
        <c:marker>
          <c:symbol val="none"/>
        </c:marker>
      </c:pivotFmt>
      <c:pivotFmt>
        <c:idx val="331"/>
        <c:marker>
          <c:symbol val="none"/>
        </c:marker>
      </c:pivotFmt>
      <c:pivotFmt>
        <c:idx val="332"/>
        <c:marker>
          <c:symbol val="none"/>
        </c:marker>
      </c:pivotFmt>
      <c:pivotFmt>
        <c:idx val="333"/>
        <c:marker>
          <c:symbol val="none"/>
        </c:marker>
      </c:pivotFmt>
      <c:pivotFmt>
        <c:idx val="334"/>
        <c:marker>
          <c:symbol val="none"/>
        </c:marker>
      </c:pivotFmt>
      <c:pivotFmt>
        <c:idx val="335"/>
        <c:marker>
          <c:symbol val="none"/>
        </c:marker>
      </c:pivotFmt>
      <c:pivotFmt>
        <c:idx val="336"/>
        <c:marker>
          <c:symbol val="none"/>
        </c:marker>
      </c:pivotFmt>
      <c:pivotFmt>
        <c:idx val="337"/>
        <c:marker>
          <c:symbol val="none"/>
        </c:marker>
      </c:pivotFmt>
      <c:pivotFmt>
        <c:idx val="338"/>
        <c:marker>
          <c:symbol val="none"/>
        </c:marker>
      </c:pivotFmt>
      <c:pivotFmt>
        <c:idx val="339"/>
        <c:marker>
          <c:symbol val="none"/>
        </c:marker>
      </c:pivotFmt>
      <c:pivotFmt>
        <c:idx val="340"/>
        <c:marker>
          <c:symbol val="none"/>
        </c:marker>
      </c:pivotFmt>
      <c:pivotFmt>
        <c:idx val="341"/>
        <c:marker>
          <c:symbol val="none"/>
        </c:marker>
      </c:pivotFmt>
      <c:pivotFmt>
        <c:idx val="342"/>
        <c:marker>
          <c:symbol val="none"/>
        </c:marker>
      </c:pivotFmt>
      <c:pivotFmt>
        <c:idx val="343"/>
        <c:marker>
          <c:symbol val="none"/>
        </c:marker>
      </c:pivotFmt>
      <c:pivotFmt>
        <c:idx val="344"/>
        <c:marker>
          <c:symbol val="none"/>
        </c:marker>
      </c:pivotFmt>
      <c:pivotFmt>
        <c:idx val="345"/>
        <c:marker>
          <c:symbol val="none"/>
        </c:marker>
      </c:pivotFmt>
      <c:pivotFmt>
        <c:idx val="346"/>
        <c:marker>
          <c:symbol val="none"/>
        </c:marker>
      </c:pivotFmt>
      <c:pivotFmt>
        <c:idx val="347"/>
        <c:marker>
          <c:symbol val="none"/>
        </c:marker>
      </c:pivotFmt>
      <c:pivotFmt>
        <c:idx val="348"/>
        <c:marker>
          <c:symbol val="none"/>
        </c:marker>
      </c:pivotFmt>
      <c:pivotFmt>
        <c:idx val="349"/>
        <c:marker>
          <c:symbol val="none"/>
        </c:marker>
      </c:pivotFmt>
      <c:pivotFmt>
        <c:idx val="350"/>
        <c:marker>
          <c:symbol val="none"/>
        </c:marker>
      </c:pivotFmt>
      <c:pivotFmt>
        <c:idx val="351"/>
        <c:marker>
          <c:symbol val="none"/>
        </c:marker>
      </c:pivotFmt>
      <c:pivotFmt>
        <c:idx val="352"/>
        <c:marker>
          <c:symbol val="none"/>
        </c:marker>
      </c:pivotFmt>
      <c:pivotFmt>
        <c:idx val="353"/>
        <c:marker>
          <c:symbol val="none"/>
        </c:marker>
      </c:pivotFmt>
      <c:pivotFmt>
        <c:idx val="354"/>
        <c:marker>
          <c:symbol val="none"/>
        </c:marker>
      </c:pivotFmt>
      <c:pivotFmt>
        <c:idx val="355"/>
        <c:marker>
          <c:symbol val="none"/>
        </c:marker>
      </c:pivotFmt>
      <c:pivotFmt>
        <c:idx val="356"/>
        <c:marker>
          <c:symbol val="none"/>
        </c:marker>
      </c:pivotFmt>
      <c:pivotFmt>
        <c:idx val="357"/>
        <c:marker>
          <c:symbol val="none"/>
        </c:marker>
      </c:pivotFmt>
      <c:pivotFmt>
        <c:idx val="358"/>
        <c:marker>
          <c:symbol val="none"/>
        </c:marker>
      </c:pivotFmt>
      <c:pivotFmt>
        <c:idx val="359"/>
        <c:marker>
          <c:symbol val="none"/>
        </c:marker>
      </c:pivotFmt>
      <c:pivotFmt>
        <c:idx val="360"/>
        <c:marker>
          <c:symbol val="none"/>
        </c:marker>
      </c:pivotFmt>
      <c:pivotFmt>
        <c:idx val="361"/>
        <c:marker>
          <c:symbol val="none"/>
        </c:marker>
      </c:pivotFmt>
      <c:pivotFmt>
        <c:idx val="362"/>
        <c:marker>
          <c:symbol val="none"/>
        </c:marker>
      </c:pivotFmt>
      <c:pivotFmt>
        <c:idx val="363"/>
        <c:marker>
          <c:symbol val="none"/>
        </c:marker>
      </c:pivotFmt>
      <c:pivotFmt>
        <c:idx val="364"/>
        <c:marker>
          <c:symbol val="none"/>
        </c:marker>
      </c:pivotFmt>
      <c:pivotFmt>
        <c:idx val="365"/>
        <c:marker>
          <c:symbol val="none"/>
        </c:marker>
      </c:pivotFmt>
    </c:pivotFmts>
    <c:plotArea>
      <c:layout/>
      <c:barChart>
        <c:barDir val="col"/>
        <c:grouping val="clustered"/>
        <c:varyColors val="0"/>
        <c:ser>
          <c:idx val="0"/>
          <c:order val="0"/>
          <c:tx>
            <c:strRef>
              <c:f>'comparators (5)'!$B$37:$B$38</c:f>
              <c:strCache>
                <c:ptCount val="1"/>
                <c:pt idx="0">
                  <c:v>JULY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'comparators (5)'!$A$39:$A$46</c:f>
              <c:multiLvlStrCache>
                <c:ptCount val="6"/>
                <c:lvl>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lvl>
                <c:lvl>
                  <c:pt idx="0">
                    <c:v>A_COMPLETION_ASSESSMENT</c:v>
                  </c:pt>
                </c:lvl>
              </c:multiLvlStrCache>
            </c:multiLvlStrRef>
          </c:cat>
          <c:val>
            <c:numRef>
              <c:f>'comparators (5)'!$B$39:$B$46</c:f>
              <c:numCache>
                <c:formatCode>General</c:formatCode>
                <c:ptCount val="6"/>
                <c:pt idx="0">
                  <c:v>25</c:v>
                </c:pt>
                <c:pt idx="1">
                  <c:v>74</c:v>
                </c:pt>
                <c:pt idx="2">
                  <c:v>0</c:v>
                </c:pt>
                <c:pt idx="3">
                  <c:v>1050</c:v>
                </c:pt>
                <c:pt idx="4">
                  <c:v>0</c:v>
                </c:pt>
                <c:pt idx="5">
                  <c:v>43</c:v>
                </c:pt>
              </c:numCache>
            </c:numRef>
          </c:val>
          <c:extLst>
            <c:ext xmlns:c16="http://schemas.microsoft.com/office/drawing/2014/chart" uri="{C3380CC4-5D6E-409C-BE32-E72D297353CC}">
              <c16:uniqueId val="{00000000-081C-4E74-B6A0-5D04214B08A8}"/>
            </c:ext>
          </c:extLst>
        </c:ser>
        <c:ser>
          <c:idx val="1"/>
          <c:order val="1"/>
          <c:tx>
            <c:strRef>
              <c:f>'comparators (5)'!$C$37:$C$38</c:f>
              <c:strCache>
                <c:ptCount val="1"/>
                <c:pt idx="0">
                  <c:v>AUGUST</c:v>
                </c:pt>
              </c:strCache>
            </c:strRef>
          </c:tx>
          <c:invertIfNegative val="0"/>
          <c:cat>
            <c:multiLvlStrRef>
              <c:f>'comparators (5)'!$A$39:$A$46</c:f>
              <c:multiLvlStrCache>
                <c:ptCount val="6"/>
                <c:lvl>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lvl>
                <c:lvl>
                  <c:pt idx="0">
                    <c:v>A_COMPLETION_ASSESSMENT</c:v>
                  </c:pt>
                </c:lvl>
              </c:multiLvlStrCache>
            </c:multiLvlStrRef>
          </c:cat>
          <c:val>
            <c:numRef>
              <c:f>'comparators (5)'!$C$39:$C$46</c:f>
              <c:numCache>
                <c:formatCode>General</c:formatCode>
                <c:ptCount val="6"/>
                <c:pt idx="0">
                  <c:v>16</c:v>
                </c:pt>
                <c:pt idx="1">
                  <c:v>125</c:v>
                </c:pt>
                <c:pt idx="2">
                  <c:v>0</c:v>
                </c:pt>
                <c:pt idx="3">
                  <c:v>573</c:v>
                </c:pt>
                <c:pt idx="4">
                  <c:v>0</c:v>
                </c:pt>
                <c:pt idx="5">
                  <c:v>33</c:v>
                </c:pt>
              </c:numCache>
            </c:numRef>
          </c:val>
          <c:extLst>
            <c:ext xmlns:c16="http://schemas.microsoft.com/office/drawing/2014/chart" uri="{C3380CC4-5D6E-409C-BE32-E72D297353CC}">
              <c16:uniqueId val="{00000001-081C-4E74-B6A0-5D04214B08A8}"/>
            </c:ext>
          </c:extLst>
        </c:ser>
        <c:ser>
          <c:idx val="2"/>
          <c:order val="2"/>
          <c:tx>
            <c:strRef>
              <c:f>'comparators (5)'!$D$37:$D$38</c:f>
              <c:strCache>
                <c:ptCount val="1"/>
                <c:pt idx="0">
                  <c:v>SEPTEMBER</c:v>
                </c:pt>
              </c:strCache>
            </c:strRef>
          </c:tx>
          <c:invertIfNegative val="0"/>
          <c:cat>
            <c:multiLvlStrRef>
              <c:f>'comparators (5)'!$A$39:$A$46</c:f>
              <c:multiLvlStrCache>
                <c:ptCount val="6"/>
                <c:lvl>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lvl>
                <c:lvl>
                  <c:pt idx="0">
                    <c:v>A_COMPLETION_ASSESSMENT</c:v>
                  </c:pt>
                </c:lvl>
              </c:multiLvlStrCache>
            </c:multiLvlStrRef>
          </c:cat>
          <c:val>
            <c:numRef>
              <c:f>'comparators (5)'!$D$39:$D$46</c:f>
              <c:numCache>
                <c:formatCode>General</c:formatCode>
                <c:ptCount val="6"/>
                <c:pt idx="0">
                  <c:v>35</c:v>
                </c:pt>
                <c:pt idx="1">
                  <c:v>92</c:v>
                </c:pt>
                <c:pt idx="2">
                  <c:v>0</c:v>
                </c:pt>
                <c:pt idx="3">
                  <c:v>417</c:v>
                </c:pt>
                <c:pt idx="4">
                  <c:v>0</c:v>
                </c:pt>
                <c:pt idx="5">
                  <c:v>29</c:v>
                </c:pt>
              </c:numCache>
            </c:numRef>
          </c:val>
          <c:extLst>
            <c:ext xmlns:c16="http://schemas.microsoft.com/office/drawing/2014/chart" uri="{C3380CC4-5D6E-409C-BE32-E72D297353CC}">
              <c16:uniqueId val="{00000002-081C-4E74-B6A0-5D04214B08A8}"/>
            </c:ext>
          </c:extLst>
        </c:ser>
        <c:ser>
          <c:idx val="3"/>
          <c:order val="3"/>
          <c:tx>
            <c:strRef>
              <c:f>'comparators (5)'!$E$37:$E$38</c:f>
              <c:strCache>
                <c:ptCount val="1"/>
                <c:pt idx="0">
                  <c:v>OCTOBER</c:v>
                </c:pt>
              </c:strCache>
            </c:strRef>
          </c:tx>
          <c:invertIfNegative val="0"/>
          <c:cat>
            <c:multiLvlStrRef>
              <c:f>'comparators (5)'!$A$39:$A$46</c:f>
              <c:multiLvlStrCache>
                <c:ptCount val="6"/>
                <c:lvl>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lvl>
                <c:lvl>
                  <c:pt idx="0">
                    <c:v>A_COMPLETION_ASSESSMENT</c:v>
                  </c:pt>
                </c:lvl>
              </c:multiLvlStrCache>
            </c:multiLvlStrRef>
          </c:cat>
          <c:val>
            <c:numRef>
              <c:f>'comparators (5)'!$E$39:$E$46</c:f>
              <c:numCache>
                <c:formatCode>General</c:formatCode>
                <c:ptCount val="6"/>
                <c:pt idx="0">
                  <c:v>51</c:v>
                </c:pt>
                <c:pt idx="1">
                  <c:v>23</c:v>
                </c:pt>
                <c:pt idx="2">
                  <c:v>0</c:v>
                </c:pt>
                <c:pt idx="3">
                  <c:v>303</c:v>
                </c:pt>
                <c:pt idx="4">
                  <c:v>0</c:v>
                </c:pt>
                <c:pt idx="5">
                  <c:v>27</c:v>
                </c:pt>
              </c:numCache>
            </c:numRef>
          </c:val>
          <c:extLst>
            <c:ext xmlns:c16="http://schemas.microsoft.com/office/drawing/2014/chart" uri="{C3380CC4-5D6E-409C-BE32-E72D297353CC}">
              <c16:uniqueId val="{00000003-081C-4E74-B6A0-5D04214B08A8}"/>
            </c:ext>
          </c:extLst>
        </c:ser>
        <c:ser>
          <c:idx val="4"/>
          <c:order val="4"/>
          <c:tx>
            <c:strRef>
              <c:f>'comparators (5)'!$F$37:$F$38</c:f>
              <c:strCache>
                <c:ptCount val="1"/>
                <c:pt idx="0">
                  <c:v>NOVEMBER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'comparators (5)'!$A$39:$A$46</c:f>
              <c:multiLvlStrCache>
                <c:ptCount val="6"/>
                <c:lvl>
                  <c:pt idx="0">
                    <c:v>BLACKPOOL TEACHING HOSPITALS NHS FOUNDATION TRUST</c:v>
                  </c:pt>
                  <c:pt idx="1">
                    <c:v>EAST LANCASHIRE HOSPITALS NHS TRUST</c:v>
                  </c:pt>
                  <c:pt idx="2">
                    <c:v>LANCASHIRE CARE NHS FOUNDATION TRUST</c:v>
                  </c:pt>
                  <c:pt idx="3">
                    <c:v>LANCASHIRE TEACHING HOSPITALS NHS FOUNDATION TRUST</c:v>
                  </c:pt>
                  <c:pt idx="4">
                    <c:v>SOUTHPORT AND ORMSKIRK HOSPITAL NHS TRUST</c:v>
                  </c:pt>
                  <c:pt idx="5">
                    <c:v>UNIVERSITY HOSPITALS OF MORECAMBE BAY NHS FOUNDATION TRUST</c:v>
                  </c:pt>
                </c:lvl>
                <c:lvl>
                  <c:pt idx="0">
                    <c:v>A_COMPLETION_ASSESSMENT</c:v>
                  </c:pt>
                </c:lvl>
              </c:multiLvlStrCache>
            </c:multiLvlStrRef>
          </c:cat>
          <c:val>
            <c:numRef>
              <c:f>'comparators (5)'!$F$39:$F$46</c:f>
              <c:numCache>
                <c:formatCode>General</c:formatCode>
                <c:ptCount val="6"/>
                <c:pt idx="0">
                  <c:v>48</c:v>
                </c:pt>
                <c:pt idx="1">
                  <c:v>60</c:v>
                </c:pt>
                <c:pt idx="2">
                  <c:v>0</c:v>
                </c:pt>
                <c:pt idx="3">
                  <c:v>487</c:v>
                </c:pt>
                <c:pt idx="4">
                  <c:v>0</c:v>
                </c:pt>
                <c:pt idx="5">
                  <c:v>7</c:v>
                </c:pt>
              </c:numCache>
            </c:numRef>
          </c:val>
          <c:extLst>
            <c:ext xmlns:c16="http://schemas.microsoft.com/office/drawing/2014/chart" uri="{C3380CC4-5D6E-409C-BE32-E72D297353CC}">
              <c16:uniqueId val="{00000004-081C-4E74-B6A0-5D04214B08A8}"/>
            </c:ext>
          </c:extLst>
        </c:ser>
        <c:dLbls>
          <c:showLegendKey val="0"/>
          <c:showVal val="0"/>
          <c:showCatName val="0"/>
          <c:showSerName val="0"/>
          <c:showPercent val="0"/>
          <c:showBubbleSize val="0"/>
        </c:dLbls>
        <c:gapWidth val="150"/>
        <c:axId val="168520152"/>
        <c:axId val="168520544"/>
      </c:barChart>
      <c:catAx>
        <c:axId val="168520152"/>
        <c:scaling>
          <c:orientation val="minMax"/>
        </c:scaling>
        <c:delete val="0"/>
        <c:axPos val="b"/>
        <c:numFmt formatCode="General" sourceLinked="0"/>
        <c:majorTickMark val="out"/>
        <c:minorTickMark val="none"/>
        <c:tickLblPos val="nextTo"/>
        <c:txPr>
          <a:bodyPr/>
          <a:lstStyle/>
          <a:p>
            <a:pPr>
              <a:defRPr sz="800" baseline="0"/>
            </a:pPr>
            <a:endParaRPr lang="en-US"/>
          </a:p>
        </c:txPr>
        <c:crossAx val="168520544"/>
        <c:crosses val="autoZero"/>
        <c:auto val="1"/>
        <c:lblAlgn val="ctr"/>
        <c:lblOffset val="100"/>
        <c:noMultiLvlLbl val="0"/>
      </c:catAx>
      <c:valAx>
        <c:axId val="168520544"/>
        <c:scaling>
          <c:orientation val="minMax"/>
        </c:scaling>
        <c:delete val="0"/>
        <c:axPos val="l"/>
        <c:majorGridlines/>
        <c:numFmt formatCode="General" sourceLinked="1"/>
        <c:majorTickMark val="out"/>
        <c:minorTickMark val="none"/>
        <c:tickLblPos val="nextTo"/>
        <c:crossAx val="168520152"/>
        <c:crosses val="autoZero"/>
        <c:crossBetween val="between"/>
      </c:valAx>
    </c:plotArea>
    <c:legend>
      <c:legendPos val="b"/>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2015_16 to 2017_18 revised1.xlsx]comparators (2)!PivotTable2</c:name>
    <c:fmtId val="592"/>
  </c:pivotSource>
  <c:chart>
    <c:title>
      <c:tx>
        <c:rich>
          <a:bodyPr/>
          <a:lstStyle/>
          <a:p>
            <a:pPr>
              <a:defRPr/>
            </a:pPr>
            <a:r>
              <a:rPr lang="en-GB" sz="1200"/>
              <a:t>2015/16  to 2017/18 delayed days during the month - Lancashire </a:t>
            </a:r>
          </a:p>
        </c:rich>
      </c:tx>
      <c:layout>
        <c:manualLayout>
          <c:xMode val="edge"/>
          <c:yMode val="edge"/>
          <c:x val="0.14330342022103112"/>
          <c:y val="2.9925308873586548E-2"/>
        </c:manualLayout>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pivotFmt>
      <c:pivotFmt>
        <c:idx val="102"/>
        <c:marker>
          <c:symbol val="none"/>
        </c:marker>
      </c:pivotFmt>
      <c:pivotFmt>
        <c:idx val="103"/>
        <c:marker>
          <c:symbol val="none"/>
        </c:marker>
      </c:pivotFmt>
      <c:pivotFmt>
        <c:idx val="104"/>
        <c:marker>
          <c:symbol val="none"/>
        </c:marker>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marker>
          <c:symbol val="none"/>
        </c:marker>
      </c:pivotFmt>
      <c:pivotFmt>
        <c:idx val="124"/>
        <c:marker>
          <c:symbol val="none"/>
        </c:marker>
      </c:pivotFmt>
      <c:pivotFmt>
        <c:idx val="125"/>
        <c:marker>
          <c:symbol val="none"/>
        </c:marker>
      </c:pivotFmt>
      <c:pivotFmt>
        <c:idx val="126"/>
        <c:marker>
          <c:symbol val="none"/>
        </c:marker>
      </c:pivotFmt>
      <c:pivotFmt>
        <c:idx val="127"/>
        <c:marker>
          <c:symbol val="none"/>
        </c:marker>
      </c:pivotFmt>
      <c:pivotFmt>
        <c:idx val="128"/>
        <c:marker>
          <c:symbol val="none"/>
        </c:marker>
      </c:pivotFmt>
      <c:pivotFmt>
        <c:idx val="129"/>
        <c:marker>
          <c:symbol val="none"/>
        </c:marker>
      </c:pivotFmt>
      <c:pivotFmt>
        <c:idx val="130"/>
        <c:marker>
          <c:symbol val="none"/>
        </c:marker>
      </c:pivotFmt>
      <c:pivotFmt>
        <c:idx val="131"/>
        <c:marker>
          <c:symbol val="none"/>
        </c:marker>
      </c:pivotFmt>
      <c:pivotFmt>
        <c:idx val="132"/>
        <c:marker>
          <c:symbol val="none"/>
        </c:marker>
      </c:pivotFmt>
      <c:pivotFmt>
        <c:idx val="133"/>
        <c:marker>
          <c:symbol val="none"/>
        </c:marker>
      </c:pivotFmt>
      <c:pivotFmt>
        <c:idx val="134"/>
        <c:marker>
          <c:symbol val="none"/>
        </c:marker>
      </c:pivotFmt>
      <c:pivotFmt>
        <c:idx val="135"/>
        <c:marker>
          <c:symbol val="none"/>
        </c:marker>
      </c:pivotFmt>
      <c:pivotFmt>
        <c:idx val="136"/>
        <c:marker>
          <c:symbol val="none"/>
        </c:marker>
      </c:pivotFmt>
      <c:pivotFmt>
        <c:idx val="137"/>
        <c:marker>
          <c:symbol val="none"/>
        </c:marker>
      </c:pivotFmt>
      <c:pivotFmt>
        <c:idx val="138"/>
        <c:marker>
          <c:symbol val="none"/>
        </c:marker>
      </c:pivotFmt>
      <c:pivotFmt>
        <c:idx val="139"/>
        <c:marker>
          <c:symbol val="none"/>
        </c:marker>
      </c:pivotFmt>
      <c:pivotFmt>
        <c:idx val="140"/>
        <c:marker>
          <c:symbol val="none"/>
        </c:marker>
      </c:pivotFmt>
      <c:pivotFmt>
        <c:idx val="141"/>
        <c:marker>
          <c:symbol val="none"/>
        </c:marker>
      </c:pivotFmt>
      <c:pivotFmt>
        <c:idx val="142"/>
        <c:marker>
          <c:symbol val="none"/>
        </c:marker>
      </c:pivotFmt>
      <c:pivotFmt>
        <c:idx val="143"/>
        <c:marker>
          <c:symbol val="none"/>
        </c:marker>
      </c:pivotFmt>
      <c:pivotFmt>
        <c:idx val="144"/>
        <c:marker>
          <c:symbol val="none"/>
        </c:marker>
      </c:pivotFmt>
      <c:pivotFmt>
        <c:idx val="145"/>
        <c:marker>
          <c:symbol val="none"/>
        </c:marker>
      </c:pivotFmt>
      <c:pivotFmt>
        <c:idx val="146"/>
        <c:marker>
          <c:symbol val="none"/>
        </c:marker>
      </c:pivotFmt>
      <c:pivotFmt>
        <c:idx val="147"/>
        <c:marker>
          <c:symbol val="none"/>
        </c:marker>
      </c:pivotFmt>
      <c:pivotFmt>
        <c:idx val="148"/>
        <c:marker>
          <c:symbol val="none"/>
        </c:marker>
      </c:pivotFmt>
      <c:pivotFmt>
        <c:idx val="149"/>
        <c:marker>
          <c:symbol val="none"/>
        </c:marker>
      </c:pivotFmt>
      <c:pivotFmt>
        <c:idx val="150"/>
        <c:marker>
          <c:symbol val="none"/>
        </c:marker>
      </c:pivotFmt>
      <c:pivotFmt>
        <c:idx val="151"/>
        <c:marker>
          <c:symbol val="none"/>
        </c:marker>
      </c:pivotFmt>
      <c:pivotFmt>
        <c:idx val="152"/>
        <c:marker>
          <c:symbol val="none"/>
        </c:marker>
      </c:pivotFmt>
      <c:pivotFmt>
        <c:idx val="153"/>
        <c:marker>
          <c:symbol val="none"/>
        </c:marker>
      </c:pivotFmt>
      <c:pivotFmt>
        <c:idx val="154"/>
        <c:marker>
          <c:symbol val="none"/>
        </c:marker>
      </c:pivotFmt>
      <c:pivotFmt>
        <c:idx val="155"/>
        <c:marker>
          <c:symbol val="none"/>
        </c:marker>
      </c:pivotFmt>
      <c:pivotFmt>
        <c:idx val="156"/>
        <c:marker>
          <c:symbol val="none"/>
        </c:marker>
      </c:pivotFmt>
      <c:pivotFmt>
        <c:idx val="157"/>
        <c:marker>
          <c:symbol val="none"/>
        </c:marker>
      </c:pivotFmt>
      <c:pivotFmt>
        <c:idx val="158"/>
        <c:marker>
          <c:symbol val="none"/>
        </c:marker>
      </c:pivotFmt>
      <c:pivotFmt>
        <c:idx val="159"/>
        <c:marker>
          <c:symbol val="none"/>
        </c:marker>
      </c:pivotFmt>
      <c:pivotFmt>
        <c:idx val="160"/>
        <c:marker>
          <c:symbol val="none"/>
        </c:marker>
      </c:pivotFmt>
      <c:pivotFmt>
        <c:idx val="161"/>
        <c:marker>
          <c:symbol val="none"/>
        </c:marker>
      </c:pivotFmt>
      <c:pivotFmt>
        <c:idx val="162"/>
        <c:marker>
          <c:symbol val="none"/>
        </c:marker>
      </c:pivotFmt>
      <c:pivotFmt>
        <c:idx val="163"/>
        <c:marker>
          <c:symbol val="none"/>
        </c:marker>
      </c:pivotFmt>
      <c:pivotFmt>
        <c:idx val="164"/>
        <c:marker>
          <c:symbol val="none"/>
        </c:marker>
      </c:pivotFmt>
      <c:pivotFmt>
        <c:idx val="165"/>
        <c:marker>
          <c:symbol val="none"/>
        </c:marker>
      </c:pivotFmt>
      <c:pivotFmt>
        <c:idx val="166"/>
        <c:marker>
          <c:symbol val="none"/>
        </c:marker>
      </c:pivotFmt>
      <c:pivotFmt>
        <c:idx val="167"/>
        <c:marker>
          <c:symbol val="none"/>
        </c:marker>
      </c:pivotFmt>
      <c:pivotFmt>
        <c:idx val="168"/>
        <c:marker>
          <c:symbol val="none"/>
        </c:marker>
      </c:pivotFmt>
      <c:pivotFmt>
        <c:idx val="169"/>
        <c:marker>
          <c:symbol val="none"/>
        </c:marker>
      </c:pivotFmt>
      <c:pivotFmt>
        <c:idx val="170"/>
        <c:marker>
          <c:symbol val="none"/>
        </c:marker>
      </c:pivotFmt>
      <c:pivotFmt>
        <c:idx val="171"/>
        <c:marker>
          <c:symbol val="none"/>
        </c:marker>
      </c:pivotFmt>
      <c:pivotFmt>
        <c:idx val="172"/>
        <c:marker>
          <c:symbol val="none"/>
        </c:marker>
      </c:pivotFmt>
      <c:pivotFmt>
        <c:idx val="173"/>
        <c:marker>
          <c:symbol val="none"/>
        </c:marker>
      </c:pivotFmt>
      <c:pivotFmt>
        <c:idx val="174"/>
        <c:marker>
          <c:symbol val="none"/>
        </c:marker>
      </c:pivotFmt>
      <c:pivotFmt>
        <c:idx val="175"/>
        <c:marker>
          <c:symbol val="none"/>
        </c:marker>
      </c:pivotFmt>
      <c:pivotFmt>
        <c:idx val="176"/>
        <c:marker>
          <c:symbol val="none"/>
        </c:marker>
      </c:pivotFmt>
      <c:pivotFmt>
        <c:idx val="177"/>
        <c:marker>
          <c:symbol val="none"/>
        </c:marker>
      </c:pivotFmt>
      <c:pivotFmt>
        <c:idx val="178"/>
        <c:marker>
          <c:symbol val="none"/>
        </c:marker>
      </c:pivotFmt>
      <c:pivotFmt>
        <c:idx val="179"/>
        <c:marker>
          <c:symbol val="none"/>
        </c:marker>
      </c:pivotFmt>
      <c:pivotFmt>
        <c:idx val="180"/>
        <c:marker>
          <c:symbol val="none"/>
        </c:marker>
      </c:pivotFmt>
      <c:pivotFmt>
        <c:idx val="181"/>
        <c:marker>
          <c:symbol val="none"/>
        </c:marker>
      </c:pivotFmt>
      <c:pivotFmt>
        <c:idx val="182"/>
        <c:marker>
          <c:symbol val="none"/>
        </c:marker>
      </c:pivotFmt>
      <c:pivotFmt>
        <c:idx val="183"/>
        <c:marker>
          <c:symbol val="none"/>
        </c:marker>
      </c:pivotFmt>
      <c:pivotFmt>
        <c:idx val="184"/>
        <c:marker>
          <c:symbol val="none"/>
        </c:marker>
      </c:pivotFmt>
      <c:pivotFmt>
        <c:idx val="185"/>
        <c:marker>
          <c:symbol val="none"/>
        </c:marker>
      </c:pivotFmt>
      <c:pivotFmt>
        <c:idx val="186"/>
        <c:marker>
          <c:symbol val="none"/>
        </c:marker>
      </c:pivotFmt>
      <c:pivotFmt>
        <c:idx val="187"/>
        <c:marker>
          <c:symbol val="none"/>
        </c:marker>
      </c:pivotFmt>
      <c:pivotFmt>
        <c:idx val="188"/>
        <c:marker>
          <c:symbol val="none"/>
        </c:marker>
      </c:pivotFmt>
      <c:pivotFmt>
        <c:idx val="189"/>
        <c:marker>
          <c:symbol val="none"/>
        </c:marker>
      </c:pivotFmt>
      <c:pivotFmt>
        <c:idx val="190"/>
        <c:marker>
          <c:symbol val="none"/>
        </c:marker>
      </c:pivotFmt>
      <c:pivotFmt>
        <c:idx val="191"/>
        <c:marker>
          <c:symbol val="none"/>
        </c:marker>
      </c:pivotFmt>
      <c:pivotFmt>
        <c:idx val="192"/>
        <c:marker>
          <c:symbol val="none"/>
        </c:marker>
      </c:pivotFmt>
      <c:pivotFmt>
        <c:idx val="193"/>
        <c:marker>
          <c:symbol val="none"/>
        </c:marker>
      </c:pivotFmt>
      <c:pivotFmt>
        <c:idx val="194"/>
        <c:marker>
          <c:symbol val="none"/>
        </c:marker>
      </c:pivotFmt>
      <c:pivotFmt>
        <c:idx val="195"/>
        <c:marker>
          <c:symbol val="none"/>
        </c:marker>
      </c:pivotFmt>
      <c:pivotFmt>
        <c:idx val="196"/>
        <c:marker>
          <c:symbol val="none"/>
        </c:marker>
      </c:pivotFmt>
      <c:pivotFmt>
        <c:idx val="197"/>
        <c:marker>
          <c:symbol val="none"/>
        </c:marker>
      </c:pivotFmt>
      <c:pivotFmt>
        <c:idx val="198"/>
        <c:marker>
          <c:symbol val="none"/>
        </c:marker>
      </c:pivotFmt>
      <c:pivotFmt>
        <c:idx val="199"/>
        <c:marker>
          <c:symbol val="none"/>
        </c:marker>
      </c:pivotFmt>
      <c:pivotFmt>
        <c:idx val="200"/>
        <c:marker>
          <c:symbol val="none"/>
        </c:marker>
      </c:pivotFmt>
      <c:pivotFmt>
        <c:idx val="201"/>
        <c:marker>
          <c:symbol val="none"/>
        </c:marker>
      </c:pivotFmt>
      <c:pivotFmt>
        <c:idx val="202"/>
        <c:marker>
          <c:symbol val="none"/>
        </c:marker>
      </c:pivotFmt>
      <c:pivotFmt>
        <c:idx val="203"/>
        <c:marker>
          <c:symbol val="none"/>
        </c:marker>
      </c:pivotFmt>
      <c:pivotFmt>
        <c:idx val="204"/>
        <c:marker>
          <c:symbol val="none"/>
        </c:marker>
      </c:pivotFmt>
      <c:pivotFmt>
        <c:idx val="205"/>
        <c:marker>
          <c:symbol val="none"/>
        </c:marker>
      </c:pivotFmt>
      <c:pivotFmt>
        <c:idx val="206"/>
        <c:marker>
          <c:symbol val="none"/>
        </c:marker>
      </c:pivotFmt>
      <c:pivotFmt>
        <c:idx val="207"/>
        <c:marker>
          <c:symbol val="none"/>
        </c:marker>
      </c:pivotFmt>
      <c:pivotFmt>
        <c:idx val="208"/>
        <c:marker>
          <c:symbol val="none"/>
        </c:marker>
      </c:pivotFmt>
      <c:pivotFmt>
        <c:idx val="209"/>
        <c:marker>
          <c:symbol val="none"/>
        </c:marker>
      </c:pivotFmt>
      <c:pivotFmt>
        <c:idx val="210"/>
        <c:marker>
          <c:symbol val="none"/>
        </c:marker>
      </c:pivotFmt>
      <c:pivotFmt>
        <c:idx val="211"/>
        <c:marker>
          <c:symbol val="none"/>
        </c:marker>
      </c:pivotFmt>
      <c:pivotFmt>
        <c:idx val="212"/>
        <c:marker>
          <c:symbol val="none"/>
        </c:marker>
      </c:pivotFmt>
      <c:pivotFmt>
        <c:idx val="213"/>
        <c:marker>
          <c:symbol val="none"/>
        </c:marker>
      </c:pivotFmt>
      <c:pivotFmt>
        <c:idx val="214"/>
        <c:marker>
          <c:symbol val="none"/>
        </c:marker>
      </c:pivotFmt>
      <c:pivotFmt>
        <c:idx val="215"/>
        <c:marker>
          <c:symbol val="none"/>
        </c:marker>
      </c:pivotFmt>
      <c:pivotFmt>
        <c:idx val="216"/>
        <c:marker>
          <c:symbol val="none"/>
        </c:marker>
      </c:pivotFmt>
      <c:pivotFmt>
        <c:idx val="217"/>
        <c:marker>
          <c:symbol val="none"/>
        </c:marker>
      </c:pivotFmt>
      <c:pivotFmt>
        <c:idx val="218"/>
        <c:marker>
          <c:symbol val="none"/>
        </c:marker>
      </c:pivotFmt>
      <c:pivotFmt>
        <c:idx val="219"/>
        <c:marker>
          <c:symbol val="none"/>
        </c:marker>
      </c:pivotFmt>
      <c:pivotFmt>
        <c:idx val="220"/>
        <c:marker>
          <c:symbol val="none"/>
        </c:marker>
      </c:pivotFmt>
      <c:pivotFmt>
        <c:idx val="221"/>
        <c:marker>
          <c:symbol val="none"/>
        </c:marker>
      </c:pivotFmt>
      <c:pivotFmt>
        <c:idx val="222"/>
        <c:marker>
          <c:symbol val="none"/>
        </c:marker>
      </c:pivotFmt>
      <c:pivotFmt>
        <c:idx val="223"/>
        <c:marker>
          <c:symbol val="none"/>
        </c:marker>
      </c:pivotFmt>
      <c:pivotFmt>
        <c:idx val="224"/>
        <c:marker>
          <c:symbol val="none"/>
        </c:marker>
      </c:pivotFmt>
      <c:pivotFmt>
        <c:idx val="225"/>
        <c:marker>
          <c:symbol val="none"/>
        </c:marker>
      </c:pivotFmt>
      <c:pivotFmt>
        <c:idx val="226"/>
        <c:marker>
          <c:symbol val="none"/>
        </c:marker>
      </c:pivotFmt>
      <c:pivotFmt>
        <c:idx val="227"/>
        <c:marker>
          <c:symbol val="none"/>
        </c:marker>
      </c:pivotFmt>
      <c:pivotFmt>
        <c:idx val="228"/>
        <c:marker>
          <c:symbol val="none"/>
        </c:marker>
      </c:pivotFmt>
      <c:pivotFmt>
        <c:idx val="229"/>
        <c:marker>
          <c:symbol val="none"/>
        </c:marker>
      </c:pivotFmt>
      <c:pivotFmt>
        <c:idx val="230"/>
        <c:marker>
          <c:symbol val="none"/>
        </c:marker>
      </c:pivotFmt>
      <c:pivotFmt>
        <c:idx val="231"/>
        <c:marker>
          <c:symbol val="none"/>
        </c:marker>
      </c:pivotFmt>
      <c:pivotFmt>
        <c:idx val="232"/>
        <c:marker>
          <c:symbol val="none"/>
        </c:marker>
      </c:pivotFmt>
      <c:pivotFmt>
        <c:idx val="233"/>
        <c:marker>
          <c:symbol val="none"/>
        </c:marker>
      </c:pivotFmt>
      <c:pivotFmt>
        <c:idx val="234"/>
        <c:marker>
          <c:symbol val="none"/>
        </c:marker>
      </c:pivotFmt>
      <c:pivotFmt>
        <c:idx val="235"/>
        <c:marker>
          <c:symbol val="none"/>
        </c:marker>
      </c:pivotFmt>
      <c:pivotFmt>
        <c:idx val="236"/>
        <c:marker>
          <c:symbol val="none"/>
        </c:marker>
      </c:pivotFmt>
      <c:pivotFmt>
        <c:idx val="237"/>
        <c:marker>
          <c:symbol val="none"/>
        </c:marker>
      </c:pivotFmt>
      <c:pivotFmt>
        <c:idx val="238"/>
        <c:marker>
          <c:symbol val="none"/>
        </c:marker>
      </c:pivotFmt>
      <c:pivotFmt>
        <c:idx val="239"/>
        <c:marker>
          <c:symbol val="none"/>
        </c:marker>
      </c:pivotFmt>
      <c:pivotFmt>
        <c:idx val="240"/>
        <c:marker>
          <c:symbol val="none"/>
        </c:marker>
      </c:pivotFmt>
      <c:pivotFmt>
        <c:idx val="241"/>
        <c:marker>
          <c:symbol val="none"/>
        </c:marker>
      </c:pivotFmt>
      <c:pivotFmt>
        <c:idx val="242"/>
        <c:marker>
          <c:symbol val="none"/>
        </c:marker>
      </c:pivotFmt>
      <c:pivotFmt>
        <c:idx val="243"/>
        <c:marker>
          <c:symbol val="none"/>
        </c:marker>
      </c:pivotFmt>
      <c:pivotFmt>
        <c:idx val="244"/>
        <c:marker>
          <c:symbol val="none"/>
        </c:marker>
      </c:pivotFmt>
      <c:pivotFmt>
        <c:idx val="245"/>
        <c:marker>
          <c:symbol val="none"/>
        </c:marker>
      </c:pivotFmt>
      <c:pivotFmt>
        <c:idx val="246"/>
        <c:marker>
          <c:symbol val="none"/>
        </c:marker>
      </c:pivotFmt>
      <c:pivotFmt>
        <c:idx val="247"/>
        <c:marker>
          <c:symbol val="none"/>
        </c:marker>
      </c:pivotFmt>
      <c:pivotFmt>
        <c:idx val="248"/>
        <c:marker>
          <c:symbol val="none"/>
        </c:marker>
      </c:pivotFmt>
      <c:pivotFmt>
        <c:idx val="249"/>
        <c:marker>
          <c:symbol val="none"/>
        </c:marker>
      </c:pivotFmt>
      <c:pivotFmt>
        <c:idx val="250"/>
        <c:marker>
          <c:symbol val="none"/>
        </c:marker>
      </c:pivotFmt>
      <c:pivotFmt>
        <c:idx val="251"/>
        <c:marker>
          <c:symbol val="none"/>
        </c:marker>
      </c:pivotFmt>
      <c:pivotFmt>
        <c:idx val="252"/>
        <c:marker>
          <c:symbol val="none"/>
        </c:marker>
      </c:pivotFmt>
      <c:pivotFmt>
        <c:idx val="253"/>
        <c:marker>
          <c:symbol val="none"/>
        </c:marker>
      </c:pivotFmt>
      <c:pivotFmt>
        <c:idx val="254"/>
        <c:marker>
          <c:symbol val="none"/>
        </c:marker>
      </c:pivotFmt>
      <c:pivotFmt>
        <c:idx val="255"/>
        <c:marker>
          <c:symbol val="none"/>
        </c:marker>
      </c:pivotFmt>
      <c:pivotFmt>
        <c:idx val="256"/>
        <c:marker>
          <c:symbol val="none"/>
        </c:marker>
      </c:pivotFmt>
      <c:pivotFmt>
        <c:idx val="257"/>
        <c:marker>
          <c:symbol val="none"/>
        </c:marker>
      </c:pivotFmt>
      <c:pivotFmt>
        <c:idx val="258"/>
        <c:marker>
          <c:symbol val="none"/>
        </c:marker>
      </c:pivotFmt>
      <c:pivotFmt>
        <c:idx val="259"/>
        <c:marker>
          <c:symbol val="none"/>
        </c:marker>
      </c:pivotFmt>
      <c:pivotFmt>
        <c:idx val="260"/>
        <c:marker>
          <c:symbol val="none"/>
        </c:marker>
      </c:pivotFmt>
      <c:pivotFmt>
        <c:idx val="261"/>
        <c:marker>
          <c:symbol val="none"/>
        </c:marker>
      </c:pivotFmt>
      <c:pivotFmt>
        <c:idx val="262"/>
        <c:marker>
          <c:symbol val="none"/>
        </c:marker>
      </c:pivotFmt>
      <c:pivotFmt>
        <c:idx val="263"/>
        <c:marker>
          <c:symbol val="none"/>
        </c:marker>
      </c:pivotFmt>
      <c:pivotFmt>
        <c:idx val="264"/>
        <c:marker>
          <c:symbol val="none"/>
        </c:marker>
      </c:pivotFmt>
      <c:pivotFmt>
        <c:idx val="265"/>
        <c:marker>
          <c:symbol val="none"/>
        </c:marker>
      </c:pivotFmt>
      <c:pivotFmt>
        <c:idx val="266"/>
        <c:marker>
          <c:symbol val="none"/>
        </c:marker>
      </c:pivotFmt>
      <c:pivotFmt>
        <c:idx val="267"/>
        <c:marker>
          <c:symbol val="none"/>
        </c:marker>
      </c:pivotFmt>
      <c:pivotFmt>
        <c:idx val="268"/>
        <c:marker>
          <c:symbol val="none"/>
        </c:marker>
      </c:pivotFmt>
      <c:pivotFmt>
        <c:idx val="269"/>
        <c:marker>
          <c:symbol val="none"/>
        </c:marker>
      </c:pivotFmt>
      <c:pivotFmt>
        <c:idx val="270"/>
        <c:marker>
          <c:symbol val="none"/>
        </c:marker>
      </c:pivotFmt>
      <c:pivotFmt>
        <c:idx val="271"/>
        <c:marker>
          <c:symbol val="none"/>
        </c:marker>
      </c:pivotFmt>
      <c:pivotFmt>
        <c:idx val="272"/>
        <c:marker>
          <c:symbol val="none"/>
        </c:marker>
      </c:pivotFmt>
      <c:pivotFmt>
        <c:idx val="273"/>
        <c:marker>
          <c:symbol val="none"/>
        </c:marker>
      </c:pivotFmt>
      <c:pivotFmt>
        <c:idx val="274"/>
        <c:marker>
          <c:symbol val="none"/>
        </c:marker>
      </c:pivotFmt>
      <c:pivotFmt>
        <c:idx val="275"/>
        <c:marker>
          <c:symbol val="none"/>
        </c:marker>
      </c:pivotFmt>
      <c:pivotFmt>
        <c:idx val="276"/>
        <c:marker>
          <c:symbol val="none"/>
        </c:marker>
      </c:pivotFmt>
      <c:pivotFmt>
        <c:idx val="277"/>
        <c:marker>
          <c:symbol val="none"/>
        </c:marker>
      </c:pivotFmt>
      <c:pivotFmt>
        <c:idx val="278"/>
        <c:marker>
          <c:symbol val="none"/>
        </c:marker>
      </c:pivotFmt>
      <c:pivotFmt>
        <c:idx val="279"/>
        <c:marker>
          <c:symbol val="none"/>
        </c:marker>
      </c:pivotFmt>
      <c:pivotFmt>
        <c:idx val="280"/>
        <c:marker>
          <c:symbol val="none"/>
        </c:marker>
      </c:pivotFmt>
      <c:pivotFmt>
        <c:idx val="281"/>
        <c:marker>
          <c:symbol val="none"/>
        </c:marker>
      </c:pivotFmt>
      <c:pivotFmt>
        <c:idx val="282"/>
        <c:marker>
          <c:symbol val="none"/>
        </c:marker>
      </c:pivotFmt>
      <c:pivotFmt>
        <c:idx val="283"/>
        <c:marker>
          <c:symbol val="none"/>
        </c:marker>
      </c:pivotFmt>
      <c:pivotFmt>
        <c:idx val="284"/>
        <c:marker>
          <c:symbol val="none"/>
        </c:marker>
      </c:pivotFmt>
      <c:pivotFmt>
        <c:idx val="285"/>
        <c:marker>
          <c:symbol val="none"/>
        </c:marker>
      </c:pivotFmt>
      <c:pivotFmt>
        <c:idx val="286"/>
        <c:marker>
          <c:symbol val="none"/>
        </c:marker>
      </c:pivotFmt>
      <c:pivotFmt>
        <c:idx val="287"/>
        <c:marker>
          <c:symbol val="none"/>
        </c:marker>
      </c:pivotFmt>
      <c:pivotFmt>
        <c:idx val="288"/>
        <c:marker>
          <c:symbol val="none"/>
        </c:marker>
      </c:pivotFmt>
      <c:pivotFmt>
        <c:idx val="289"/>
        <c:marker>
          <c:symbol val="none"/>
        </c:marker>
      </c:pivotFmt>
      <c:pivotFmt>
        <c:idx val="290"/>
        <c:marker>
          <c:symbol val="none"/>
        </c:marker>
      </c:pivotFmt>
      <c:pivotFmt>
        <c:idx val="291"/>
        <c:marker>
          <c:symbol val="none"/>
        </c:marker>
      </c:pivotFmt>
      <c:pivotFmt>
        <c:idx val="292"/>
        <c:marker>
          <c:symbol val="none"/>
        </c:marker>
      </c:pivotFmt>
      <c:pivotFmt>
        <c:idx val="293"/>
        <c:marker>
          <c:symbol val="none"/>
        </c:marker>
      </c:pivotFmt>
      <c:pivotFmt>
        <c:idx val="294"/>
        <c:marker>
          <c:symbol val="none"/>
        </c:marker>
      </c:pivotFmt>
      <c:pivotFmt>
        <c:idx val="295"/>
        <c:marker>
          <c:symbol val="none"/>
        </c:marker>
      </c:pivotFmt>
      <c:pivotFmt>
        <c:idx val="296"/>
        <c:marker>
          <c:symbol val="none"/>
        </c:marker>
      </c:pivotFmt>
      <c:pivotFmt>
        <c:idx val="297"/>
        <c:marker>
          <c:symbol val="none"/>
        </c:marker>
      </c:pivotFmt>
      <c:pivotFmt>
        <c:idx val="298"/>
        <c:marker>
          <c:symbol val="none"/>
        </c:marker>
      </c:pivotFmt>
      <c:pivotFmt>
        <c:idx val="299"/>
        <c:marker>
          <c:symbol val="none"/>
        </c:marker>
      </c:pivotFmt>
      <c:pivotFmt>
        <c:idx val="300"/>
        <c:marker>
          <c:symbol val="none"/>
        </c:marker>
      </c:pivotFmt>
      <c:pivotFmt>
        <c:idx val="301"/>
        <c:marker>
          <c:symbol val="none"/>
        </c:marker>
      </c:pivotFmt>
      <c:pivotFmt>
        <c:idx val="302"/>
        <c:marker>
          <c:symbol val="none"/>
        </c:marker>
      </c:pivotFmt>
      <c:pivotFmt>
        <c:idx val="303"/>
        <c:marker>
          <c:symbol val="none"/>
        </c:marker>
      </c:pivotFmt>
      <c:pivotFmt>
        <c:idx val="304"/>
        <c:marker>
          <c:symbol val="none"/>
        </c:marker>
      </c:pivotFmt>
      <c:pivotFmt>
        <c:idx val="305"/>
        <c:marker>
          <c:symbol val="none"/>
        </c:marker>
      </c:pivotFmt>
      <c:pivotFmt>
        <c:idx val="306"/>
        <c:marker>
          <c:symbol val="none"/>
        </c:marker>
      </c:pivotFmt>
      <c:pivotFmt>
        <c:idx val="307"/>
        <c:marker>
          <c:symbol val="none"/>
        </c:marker>
      </c:pivotFmt>
      <c:pivotFmt>
        <c:idx val="308"/>
        <c:marker>
          <c:symbol val="none"/>
        </c:marker>
      </c:pivotFmt>
      <c:pivotFmt>
        <c:idx val="309"/>
        <c:marker>
          <c:symbol val="none"/>
        </c:marker>
      </c:pivotFmt>
      <c:pivotFmt>
        <c:idx val="310"/>
        <c:marker>
          <c:symbol val="none"/>
        </c:marker>
      </c:pivotFmt>
      <c:pivotFmt>
        <c:idx val="311"/>
        <c:marker>
          <c:symbol val="none"/>
        </c:marker>
      </c:pivotFmt>
      <c:pivotFmt>
        <c:idx val="312"/>
        <c:marker>
          <c:symbol val="none"/>
        </c:marker>
      </c:pivotFmt>
      <c:pivotFmt>
        <c:idx val="313"/>
        <c:marker>
          <c:symbol val="none"/>
        </c:marker>
      </c:pivotFmt>
      <c:pivotFmt>
        <c:idx val="314"/>
        <c:marker>
          <c:symbol val="none"/>
        </c:marker>
      </c:pivotFmt>
      <c:pivotFmt>
        <c:idx val="315"/>
        <c:marker>
          <c:symbol val="none"/>
        </c:marker>
      </c:pivotFmt>
      <c:pivotFmt>
        <c:idx val="316"/>
        <c:marker>
          <c:symbol val="none"/>
        </c:marker>
      </c:pivotFmt>
      <c:pivotFmt>
        <c:idx val="317"/>
        <c:marker>
          <c:symbol val="none"/>
        </c:marker>
      </c:pivotFmt>
      <c:pivotFmt>
        <c:idx val="318"/>
        <c:marker>
          <c:symbol val="none"/>
        </c:marker>
      </c:pivotFmt>
      <c:pivotFmt>
        <c:idx val="319"/>
        <c:marker>
          <c:symbol val="none"/>
        </c:marker>
      </c:pivotFmt>
      <c:pivotFmt>
        <c:idx val="320"/>
        <c:marker>
          <c:symbol val="none"/>
        </c:marker>
      </c:pivotFmt>
      <c:pivotFmt>
        <c:idx val="321"/>
        <c:marker>
          <c:symbol val="none"/>
        </c:marker>
      </c:pivotFmt>
      <c:pivotFmt>
        <c:idx val="322"/>
        <c:marker>
          <c:symbol val="none"/>
        </c:marker>
      </c:pivotFmt>
      <c:pivotFmt>
        <c:idx val="323"/>
        <c:marker>
          <c:symbol val="none"/>
        </c:marker>
      </c:pivotFmt>
      <c:pivotFmt>
        <c:idx val="324"/>
        <c:marker>
          <c:symbol val="none"/>
        </c:marker>
      </c:pivotFmt>
      <c:pivotFmt>
        <c:idx val="325"/>
        <c:marker>
          <c:symbol val="none"/>
        </c:marker>
      </c:pivotFmt>
      <c:pivotFmt>
        <c:idx val="326"/>
        <c:marker>
          <c:symbol val="none"/>
        </c:marker>
      </c:pivotFmt>
      <c:pivotFmt>
        <c:idx val="327"/>
        <c:marker>
          <c:symbol val="none"/>
        </c:marker>
      </c:pivotFmt>
      <c:pivotFmt>
        <c:idx val="328"/>
        <c:marker>
          <c:symbol val="none"/>
        </c:marker>
      </c:pivotFmt>
      <c:pivotFmt>
        <c:idx val="329"/>
        <c:marker>
          <c:symbol val="none"/>
        </c:marker>
      </c:pivotFmt>
      <c:pivotFmt>
        <c:idx val="330"/>
        <c:marker>
          <c:symbol val="none"/>
        </c:marker>
      </c:pivotFmt>
      <c:pivotFmt>
        <c:idx val="331"/>
        <c:marker>
          <c:symbol val="none"/>
        </c:marker>
      </c:pivotFmt>
      <c:pivotFmt>
        <c:idx val="332"/>
        <c:marker>
          <c:symbol val="none"/>
        </c:marker>
      </c:pivotFmt>
      <c:pivotFmt>
        <c:idx val="333"/>
        <c:marker>
          <c:symbol val="none"/>
        </c:marker>
      </c:pivotFmt>
      <c:pivotFmt>
        <c:idx val="334"/>
        <c:marker>
          <c:symbol val="none"/>
        </c:marker>
      </c:pivotFmt>
      <c:pivotFmt>
        <c:idx val="335"/>
        <c:marker>
          <c:symbol val="none"/>
        </c:marker>
      </c:pivotFmt>
      <c:pivotFmt>
        <c:idx val="336"/>
        <c:marker>
          <c:symbol val="none"/>
        </c:marker>
      </c:pivotFmt>
      <c:pivotFmt>
        <c:idx val="337"/>
        <c:marker>
          <c:symbol val="none"/>
        </c:marker>
      </c:pivotFmt>
      <c:pivotFmt>
        <c:idx val="338"/>
        <c:marker>
          <c:symbol val="none"/>
        </c:marker>
      </c:pivotFmt>
      <c:pivotFmt>
        <c:idx val="339"/>
        <c:marker>
          <c:symbol val="none"/>
        </c:marker>
      </c:pivotFmt>
      <c:pivotFmt>
        <c:idx val="340"/>
        <c:marker>
          <c:symbol val="none"/>
        </c:marker>
      </c:pivotFmt>
      <c:pivotFmt>
        <c:idx val="341"/>
        <c:marker>
          <c:symbol val="none"/>
        </c:marker>
      </c:pivotFmt>
      <c:pivotFmt>
        <c:idx val="342"/>
        <c:marker>
          <c:symbol val="none"/>
        </c:marker>
      </c:pivotFmt>
      <c:pivotFmt>
        <c:idx val="343"/>
        <c:marker>
          <c:symbol val="none"/>
        </c:marker>
      </c:pivotFmt>
      <c:pivotFmt>
        <c:idx val="344"/>
        <c:marker>
          <c:symbol val="none"/>
        </c:marker>
      </c:pivotFmt>
      <c:pivotFmt>
        <c:idx val="345"/>
        <c:marker>
          <c:symbol val="none"/>
        </c:marker>
      </c:pivotFmt>
      <c:pivotFmt>
        <c:idx val="346"/>
        <c:marker>
          <c:symbol val="none"/>
        </c:marker>
      </c:pivotFmt>
      <c:pivotFmt>
        <c:idx val="347"/>
        <c:marker>
          <c:symbol val="none"/>
        </c:marker>
      </c:pivotFmt>
      <c:pivotFmt>
        <c:idx val="348"/>
        <c:marker>
          <c:symbol val="none"/>
        </c:marker>
      </c:pivotFmt>
      <c:pivotFmt>
        <c:idx val="349"/>
        <c:marker>
          <c:symbol val="none"/>
        </c:marker>
      </c:pivotFmt>
      <c:pivotFmt>
        <c:idx val="350"/>
        <c:marker>
          <c:symbol val="none"/>
        </c:marker>
      </c:pivotFmt>
      <c:pivotFmt>
        <c:idx val="351"/>
        <c:marker>
          <c:symbol val="none"/>
        </c:marker>
      </c:pivotFmt>
      <c:pivotFmt>
        <c:idx val="352"/>
        <c:marker>
          <c:symbol val="none"/>
        </c:marker>
      </c:pivotFmt>
      <c:pivotFmt>
        <c:idx val="353"/>
        <c:marker>
          <c:symbol val="none"/>
        </c:marker>
      </c:pivotFmt>
      <c:pivotFmt>
        <c:idx val="354"/>
        <c:marker>
          <c:symbol val="none"/>
        </c:marker>
      </c:pivotFmt>
      <c:pivotFmt>
        <c:idx val="355"/>
        <c:marker>
          <c:symbol val="none"/>
        </c:marker>
      </c:pivotFmt>
      <c:pivotFmt>
        <c:idx val="356"/>
        <c:marker>
          <c:symbol val="none"/>
        </c:marker>
      </c:pivotFmt>
    </c:pivotFmts>
    <c:plotArea>
      <c:layout/>
      <c:barChart>
        <c:barDir val="col"/>
        <c:grouping val="clustered"/>
        <c:varyColors val="0"/>
        <c:ser>
          <c:idx val="0"/>
          <c:order val="0"/>
          <c:tx>
            <c:strRef>
              <c:f>'comparators (2)'!$B$37</c:f>
              <c:strCache>
                <c:ptCount val="1"/>
                <c:pt idx="0">
                  <c:v>Sum of NHS Days</c:v>
                </c:pt>
              </c:strCache>
            </c:strRef>
          </c:tx>
          <c:invertIfNegative val="0"/>
          <c:cat>
            <c:multiLvlStrRef>
              <c:f>'comparators (2)'!$A$38:$A$73</c:f>
              <c:multiLvlStrCache>
                <c:ptCount val="32"/>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pt idx="20">
                    <c:v>DECEMBER</c:v>
                  </c:pt>
                  <c:pt idx="21">
                    <c:v>JANUARY</c:v>
                  </c:pt>
                  <c:pt idx="22">
                    <c:v>FEBRUARY</c:v>
                  </c:pt>
                  <c:pt idx="23">
                    <c:v>MARCH</c:v>
                  </c:pt>
                  <c:pt idx="24">
                    <c:v>APRIL</c:v>
                  </c:pt>
                  <c:pt idx="25">
                    <c:v>MAY</c:v>
                  </c:pt>
                  <c:pt idx="26">
                    <c:v>JUNE</c:v>
                  </c:pt>
                  <c:pt idx="27">
                    <c:v>JULY</c:v>
                  </c:pt>
                  <c:pt idx="28">
                    <c:v>AUGUST</c:v>
                  </c:pt>
                  <c:pt idx="29">
                    <c:v>SEPTEMBER</c:v>
                  </c:pt>
                  <c:pt idx="30">
                    <c:v>OCTOBER</c:v>
                  </c:pt>
                  <c:pt idx="31">
                    <c:v>NOVEMBER</c:v>
                  </c:pt>
                </c:lvl>
                <c:lvl>
                  <c:pt idx="0">
                    <c:v>2015-16</c:v>
                  </c:pt>
                  <c:pt idx="12">
                    <c:v>2016-17</c:v>
                  </c:pt>
                  <c:pt idx="24">
                    <c:v>2017-18</c:v>
                  </c:pt>
                </c:lvl>
              </c:multiLvlStrCache>
            </c:multiLvlStrRef>
          </c:cat>
          <c:val>
            <c:numRef>
              <c:f>'comparators (2)'!$B$38:$B$73</c:f>
              <c:numCache>
                <c:formatCode>General</c:formatCode>
                <c:ptCount val="32"/>
                <c:pt idx="0">
                  <c:v>2412</c:v>
                </c:pt>
                <c:pt idx="1">
                  <c:v>2685</c:v>
                </c:pt>
                <c:pt idx="2">
                  <c:v>3183</c:v>
                </c:pt>
                <c:pt idx="3">
                  <c:v>3530</c:v>
                </c:pt>
                <c:pt idx="4">
                  <c:v>3524</c:v>
                </c:pt>
                <c:pt idx="5">
                  <c:v>3473</c:v>
                </c:pt>
                <c:pt idx="6">
                  <c:v>3491</c:v>
                </c:pt>
                <c:pt idx="7">
                  <c:v>2791</c:v>
                </c:pt>
                <c:pt idx="8">
                  <c:v>3536</c:v>
                </c:pt>
                <c:pt idx="9">
                  <c:v>2978</c:v>
                </c:pt>
                <c:pt idx="10">
                  <c:v>3151</c:v>
                </c:pt>
                <c:pt idx="11">
                  <c:v>3652</c:v>
                </c:pt>
                <c:pt idx="12">
                  <c:v>3345</c:v>
                </c:pt>
                <c:pt idx="13">
                  <c:v>2693</c:v>
                </c:pt>
                <c:pt idx="14">
                  <c:v>2646</c:v>
                </c:pt>
                <c:pt idx="15">
                  <c:v>2604</c:v>
                </c:pt>
                <c:pt idx="16">
                  <c:v>2769</c:v>
                </c:pt>
                <c:pt idx="17">
                  <c:v>3026</c:v>
                </c:pt>
                <c:pt idx="18">
                  <c:v>3008</c:v>
                </c:pt>
                <c:pt idx="19">
                  <c:v>3145</c:v>
                </c:pt>
                <c:pt idx="20">
                  <c:v>3293</c:v>
                </c:pt>
                <c:pt idx="21">
                  <c:v>3273</c:v>
                </c:pt>
                <c:pt idx="22">
                  <c:v>1984</c:v>
                </c:pt>
                <c:pt idx="23">
                  <c:v>2113</c:v>
                </c:pt>
                <c:pt idx="24">
                  <c:v>2217</c:v>
                </c:pt>
                <c:pt idx="25">
                  <c:v>2035</c:v>
                </c:pt>
                <c:pt idx="26">
                  <c:v>1953</c:v>
                </c:pt>
                <c:pt idx="27">
                  <c:v>1911</c:v>
                </c:pt>
                <c:pt idx="28">
                  <c:v>1780</c:v>
                </c:pt>
                <c:pt idx="29">
                  <c:v>1922</c:v>
                </c:pt>
                <c:pt idx="30">
                  <c:v>2472</c:v>
                </c:pt>
                <c:pt idx="31">
                  <c:v>2216</c:v>
                </c:pt>
              </c:numCache>
            </c:numRef>
          </c:val>
          <c:extLst>
            <c:ext xmlns:c16="http://schemas.microsoft.com/office/drawing/2014/chart" uri="{C3380CC4-5D6E-409C-BE32-E72D297353CC}">
              <c16:uniqueId val="{00000000-CAA2-40D4-950B-4AA17E7C4053}"/>
            </c:ext>
          </c:extLst>
        </c:ser>
        <c:ser>
          <c:idx val="1"/>
          <c:order val="1"/>
          <c:tx>
            <c:strRef>
              <c:f>'comparators (2)'!$C$37</c:f>
              <c:strCache>
                <c:ptCount val="1"/>
                <c:pt idx="0">
                  <c:v>Sum of Social Care Days</c:v>
                </c:pt>
              </c:strCache>
            </c:strRef>
          </c:tx>
          <c:invertIfNegative val="0"/>
          <c:cat>
            <c:multiLvlStrRef>
              <c:f>'comparators (2)'!$A$38:$A$73</c:f>
              <c:multiLvlStrCache>
                <c:ptCount val="32"/>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pt idx="20">
                    <c:v>DECEMBER</c:v>
                  </c:pt>
                  <c:pt idx="21">
                    <c:v>JANUARY</c:v>
                  </c:pt>
                  <c:pt idx="22">
                    <c:v>FEBRUARY</c:v>
                  </c:pt>
                  <c:pt idx="23">
                    <c:v>MARCH</c:v>
                  </c:pt>
                  <c:pt idx="24">
                    <c:v>APRIL</c:v>
                  </c:pt>
                  <c:pt idx="25">
                    <c:v>MAY</c:v>
                  </c:pt>
                  <c:pt idx="26">
                    <c:v>JUNE</c:v>
                  </c:pt>
                  <c:pt idx="27">
                    <c:v>JULY</c:v>
                  </c:pt>
                  <c:pt idx="28">
                    <c:v>AUGUST</c:v>
                  </c:pt>
                  <c:pt idx="29">
                    <c:v>SEPTEMBER</c:v>
                  </c:pt>
                  <c:pt idx="30">
                    <c:v>OCTOBER</c:v>
                  </c:pt>
                  <c:pt idx="31">
                    <c:v>NOVEMBER</c:v>
                  </c:pt>
                </c:lvl>
                <c:lvl>
                  <c:pt idx="0">
                    <c:v>2015-16</c:v>
                  </c:pt>
                  <c:pt idx="12">
                    <c:v>2016-17</c:v>
                  </c:pt>
                  <c:pt idx="24">
                    <c:v>2017-18</c:v>
                  </c:pt>
                </c:lvl>
              </c:multiLvlStrCache>
            </c:multiLvlStrRef>
          </c:cat>
          <c:val>
            <c:numRef>
              <c:f>'comparators (2)'!$C$38:$C$73</c:f>
              <c:numCache>
                <c:formatCode>General</c:formatCode>
                <c:ptCount val="32"/>
                <c:pt idx="0">
                  <c:v>152</c:v>
                </c:pt>
                <c:pt idx="1">
                  <c:v>274</c:v>
                </c:pt>
                <c:pt idx="2">
                  <c:v>351</c:v>
                </c:pt>
                <c:pt idx="3">
                  <c:v>229</c:v>
                </c:pt>
                <c:pt idx="4">
                  <c:v>371</c:v>
                </c:pt>
                <c:pt idx="5">
                  <c:v>338</c:v>
                </c:pt>
                <c:pt idx="6">
                  <c:v>262</c:v>
                </c:pt>
                <c:pt idx="7">
                  <c:v>397</c:v>
                </c:pt>
                <c:pt idx="8">
                  <c:v>464</c:v>
                </c:pt>
                <c:pt idx="9">
                  <c:v>353</c:v>
                </c:pt>
                <c:pt idx="10">
                  <c:v>431</c:v>
                </c:pt>
                <c:pt idx="11">
                  <c:v>675</c:v>
                </c:pt>
                <c:pt idx="12">
                  <c:v>628</c:v>
                </c:pt>
                <c:pt idx="13">
                  <c:v>852</c:v>
                </c:pt>
                <c:pt idx="14">
                  <c:v>758</c:v>
                </c:pt>
                <c:pt idx="15">
                  <c:v>724</c:v>
                </c:pt>
                <c:pt idx="16">
                  <c:v>977</c:v>
                </c:pt>
                <c:pt idx="17">
                  <c:v>1527</c:v>
                </c:pt>
                <c:pt idx="18">
                  <c:v>1245</c:v>
                </c:pt>
                <c:pt idx="19">
                  <c:v>931</c:v>
                </c:pt>
                <c:pt idx="20">
                  <c:v>1316</c:v>
                </c:pt>
                <c:pt idx="21">
                  <c:v>1322</c:v>
                </c:pt>
                <c:pt idx="22">
                  <c:v>1905</c:v>
                </c:pt>
                <c:pt idx="23">
                  <c:v>2167</c:v>
                </c:pt>
                <c:pt idx="24">
                  <c:v>2140</c:v>
                </c:pt>
                <c:pt idx="25">
                  <c:v>2531</c:v>
                </c:pt>
                <c:pt idx="26">
                  <c:v>2436</c:v>
                </c:pt>
                <c:pt idx="27">
                  <c:v>2824</c:v>
                </c:pt>
                <c:pt idx="28">
                  <c:v>2306</c:v>
                </c:pt>
                <c:pt idx="29">
                  <c:v>2218</c:v>
                </c:pt>
                <c:pt idx="30">
                  <c:v>1872</c:v>
                </c:pt>
                <c:pt idx="31">
                  <c:v>1936</c:v>
                </c:pt>
              </c:numCache>
            </c:numRef>
          </c:val>
          <c:extLst>
            <c:ext xmlns:c16="http://schemas.microsoft.com/office/drawing/2014/chart" uri="{C3380CC4-5D6E-409C-BE32-E72D297353CC}">
              <c16:uniqueId val="{00000001-CAA2-40D4-950B-4AA17E7C4053}"/>
            </c:ext>
          </c:extLst>
        </c:ser>
        <c:ser>
          <c:idx val="2"/>
          <c:order val="2"/>
          <c:tx>
            <c:strRef>
              <c:f>'comparators (2)'!$D$37</c:f>
              <c:strCache>
                <c:ptCount val="1"/>
                <c:pt idx="0">
                  <c:v>Sum of NHS and Social Care Days</c:v>
                </c:pt>
              </c:strCache>
            </c:strRef>
          </c:tx>
          <c:invertIfNegative val="0"/>
          <c:cat>
            <c:multiLvlStrRef>
              <c:f>'comparators (2)'!$A$38:$A$73</c:f>
              <c:multiLvlStrCache>
                <c:ptCount val="32"/>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pt idx="20">
                    <c:v>DECEMBER</c:v>
                  </c:pt>
                  <c:pt idx="21">
                    <c:v>JANUARY</c:v>
                  </c:pt>
                  <c:pt idx="22">
                    <c:v>FEBRUARY</c:v>
                  </c:pt>
                  <c:pt idx="23">
                    <c:v>MARCH</c:v>
                  </c:pt>
                  <c:pt idx="24">
                    <c:v>APRIL</c:v>
                  </c:pt>
                  <c:pt idx="25">
                    <c:v>MAY</c:v>
                  </c:pt>
                  <c:pt idx="26">
                    <c:v>JUNE</c:v>
                  </c:pt>
                  <c:pt idx="27">
                    <c:v>JULY</c:v>
                  </c:pt>
                  <c:pt idx="28">
                    <c:v>AUGUST</c:v>
                  </c:pt>
                  <c:pt idx="29">
                    <c:v>SEPTEMBER</c:v>
                  </c:pt>
                  <c:pt idx="30">
                    <c:v>OCTOBER</c:v>
                  </c:pt>
                  <c:pt idx="31">
                    <c:v>NOVEMBER</c:v>
                  </c:pt>
                </c:lvl>
                <c:lvl>
                  <c:pt idx="0">
                    <c:v>2015-16</c:v>
                  </c:pt>
                  <c:pt idx="12">
                    <c:v>2016-17</c:v>
                  </c:pt>
                  <c:pt idx="24">
                    <c:v>2017-18</c:v>
                  </c:pt>
                </c:lvl>
              </c:multiLvlStrCache>
            </c:multiLvlStrRef>
          </c:cat>
          <c:val>
            <c:numRef>
              <c:f>'comparators (2)'!$D$38:$D$73</c:f>
              <c:numCache>
                <c:formatCode>General</c:formatCode>
                <c:ptCount val="32"/>
                <c:pt idx="0">
                  <c:v>134</c:v>
                </c:pt>
                <c:pt idx="1">
                  <c:v>84</c:v>
                </c:pt>
                <c:pt idx="2">
                  <c:v>64</c:v>
                </c:pt>
                <c:pt idx="3">
                  <c:v>95</c:v>
                </c:pt>
                <c:pt idx="4">
                  <c:v>44</c:v>
                </c:pt>
                <c:pt idx="5">
                  <c:v>132</c:v>
                </c:pt>
                <c:pt idx="6">
                  <c:v>70</c:v>
                </c:pt>
                <c:pt idx="7">
                  <c:v>105</c:v>
                </c:pt>
                <c:pt idx="8">
                  <c:v>93</c:v>
                </c:pt>
                <c:pt idx="9">
                  <c:v>109</c:v>
                </c:pt>
                <c:pt idx="10">
                  <c:v>150</c:v>
                </c:pt>
                <c:pt idx="11">
                  <c:v>290</c:v>
                </c:pt>
                <c:pt idx="12">
                  <c:v>132</c:v>
                </c:pt>
                <c:pt idx="13">
                  <c:v>162</c:v>
                </c:pt>
                <c:pt idx="14">
                  <c:v>149</c:v>
                </c:pt>
                <c:pt idx="15">
                  <c:v>249</c:v>
                </c:pt>
                <c:pt idx="16">
                  <c:v>278</c:v>
                </c:pt>
                <c:pt idx="17">
                  <c:v>405</c:v>
                </c:pt>
                <c:pt idx="18">
                  <c:v>448</c:v>
                </c:pt>
                <c:pt idx="19">
                  <c:v>399</c:v>
                </c:pt>
                <c:pt idx="20">
                  <c:v>397</c:v>
                </c:pt>
                <c:pt idx="21">
                  <c:v>316</c:v>
                </c:pt>
                <c:pt idx="22">
                  <c:v>166</c:v>
                </c:pt>
                <c:pt idx="23">
                  <c:v>285</c:v>
                </c:pt>
                <c:pt idx="24">
                  <c:v>252</c:v>
                </c:pt>
                <c:pt idx="25">
                  <c:v>232</c:v>
                </c:pt>
                <c:pt idx="26">
                  <c:v>254</c:v>
                </c:pt>
                <c:pt idx="27">
                  <c:v>162</c:v>
                </c:pt>
                <c:pt idx="28">
                  <c:v>297</c:v>
                </c:pt>
                <c:pt idx="29">
                  <c:v>371</c:v>
                </c:pt>
                <c:pt idx="30">
                  <c:v>365</c:v>
                </c:pt>
                <c:pt idx="31">
                  <c:v>395</c:v>
                </c:pt>
              </c:numCache>
            </c:numRef>
          </c:val>
          <c:extLst>
            <c:ext xmlns:c16="http://schemas.microsoft.com/office/drawing/2014/chart" uri="{C3380CC4-5D6E-409C-BE32-E72D297353CC}">
              <c16:uniqueId val="{00000002-CAA2-40D4-950B-4AA17E7C4053}"/>
            </c:ext>
          </c:extLst>
        </c:ser>
        <c:dLbls>
          <c:showLegendKey val="0"/>
          <c:showVal val="0"/>
          <c:showCatName val="0"/>
          <c:showSerName val="0"/>
          <c:showPercent val="0"/>
          <c:showBubbleSize val="0"/>
        </c:dLbls>
        <c:gapWidth val="150"/>
        <c:axId val="166736032"/>
        <c:axId val="166736424"/>
      </c:barChart>
      <c:catAx>
        <c:axId val="166736032"/>
        <c:scaling>
          <c:orientation val="minMax"/>
        </c:scaling>
        <c:delete val="0"/>
        <c:axPos val="b"/>
        <c:numFmt formatCode="General" sourceLinked="0"/>
        <c:majorTickMark val="out"/>
        <c:minorTickMark val="none"/>
        <c:tickLblPos val="nextTo"/>
        <c:txPr>
          <a:bodyPr/>
          <a:lstStyle/>
          <a:p>
            <a:pPr>
              <a:defRPr sz="800" baseline="0"/>
            </a:pPr>
            <a:endParaRPr lang="en-US"/>
          </a:p>
        </c:txPr>
        <c:crossAx val="166736424"/>
        <c:crosses val="autoZero"/>
        <c:auto val="1"/>
        <c:lblAlgn val="ctr"/>
        <c:lblOffset val="100"/>
        <c:noMultiLvlLbl val="0"/>
      </c:catAx>
      <c:valAx>
        <c:axId val="166736424"/>
        <c:scaling>
          <c:orientation val="minMax"/>
        </c:scaling>
        <c:delete val="0"/>
        <c:axPos val="l"/>
        <c:majorGridlines/>
        <c:numFmt formatCode="General" sourceLinked="1"/>
        <c:majorTickMark val="out"/>
        <c:minorTickMark val="none"/>
        <c:tickLblPos val="nextTo"/>
        <c:crossAx val="166736032"/>
        <c:crosses val="autoZero"/>
        <c:crossBetween val="between"/>
      </c:valAx>
    </c:plotArea>
    <c:legend>
      <c:legendPos val="b"/>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Nov-17 Total DTOC bed days per 100,000 population aged 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4"/>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workings!$A$585:$A$607</c:f>
              <c:strCache>
                <c:ptCount val="23"/>
                <c:pt idx="0">
                  <c:v>WIRRAL</c:v>
                </c:pt>
                <c:pt idx="1">
                  <c:v>WIGAN</c:v>
                </c:pt>
                <c:pt idx="2">
                  <c:v>SALFORD</c:v>
                </c:pt>
                <c:pt idx="3">
                  <c:v>KNOWSLEY</c:v>
                </c:pt>
                <c:pt idx="4">
                  <c:v>ROCHDALE</c:v>
                </c:pt>
                <c:pt idx="5">
                  <c:v>OLDHAM</c:v>
                </c:pt>
                <c:pt idx="6">
                  <c:v>ST HELENS</c:v>
                </c:pt>
                <c:pt idx="7">
                  <c:v>BLACKBURN WITH DARWEN UA</c:v>
                </c:pt>
                <c:pt idx="8">
                  <c:v>CHESHIRE EAST</c:v>
                </c:pt>
                <c:pt idx="9">
                  <c:v>BOLTON</c:v>
                </c:pt>
                <c:pt idx="10">
                  <c:v>STOCKPORT</c:v>
                </c:pt>
                <c:pt idx="11">
                  <c:v>CHESHIRE WEST AND CHESTER</c:v>
                </c:pt>
                <c:pt idx="12">
                  <c:v>WARRINGTON UA</c:v>
                </c:pt>
                <c:pt idx="13">
                  <c:v>TAMESIDE</c:v>
                </c:pt>
                <c:pt idx="14">
                  <c:v>LIVERPOOL</c:v>
                </c:pt>
                <c:pt idx="15">
                  <c:v>LANCASHIRE</c:v>
                </c:pt>
                <c:pt idx="16">
                  <c:v>MANCHESTER</c:v>
                </c:pt>
                <c:pt idx="17">
                  <c:v>BLACKPOOL UA</c:v>
                </c:pt>
                <c:pt idx="18">
                  <c:v>SEFTON</c:v>
                </c:pt>
                <c:pt idx="19">
                  <c:v>BURY</c:v>
                </c:pt>
                <c:pt idx="20">
                  <c:v>TRAFFORD</c:v>
                </c:pt>
                <c:pt idx="21">
                  <c:v>HALTON UA</c:v>
                </c:pt>
                <c:pt idx="22">
                  <c:v>CUMBRIA</c:v>
                </c:pt>
              </c:strCache>
            </c:strRef>
          </c:cat>
          <c:val>
            <c:numRef>
              <c:f>workings!$I$585:$I$607</c:f>
              <c:numCache>
                <c:formatCode>0.0</c:formatCode>
                <c:ptCount val="23"/>
                <c:pt idx="0">
                  <c:v>6.1774884434963457</c:v>
                </c:pt>
                <c:pt idx="1">
                  <c:v>6.2820387240016924</c:v>
                </c:pt>
                <c:pt idx="2">
                  <c:v>6.4484510820500835</c:v>
                </c:pt>
                <c:pt idx="3">
                  <c:v>7.1466185210260997</c:v>
                </c:pt>
                <c:pt idx="4">
                  <c:v>7.8323274762905006</c:v>
                </c:pt>
                <c:pt idx="5">
                  <c:v>7.8962600092761841</c:v>
                </c:pt>
                <c:pt idx="6">
                  <c:v>8.609506114626063</c:v>
                </c:pt>
                <c:pt idx="7">
                  <c:v>9.0184602359523556</c:v>
                </c:pt>
                <c:pt idx="8">
                  <c:v>10.444603768908708</c:v>
                </c:pt>
                <c:pt idx="9">
                  <c:v>11.162658747962883</c:v>
                </c:pt>
                <c:pt idx="10">
                  <c:v>14.447341703734523</c:v>
                </c:pt>
                <c:pt idx="11">
                  <c:v>14.727613470130429</c:v>
                </c:pt>
                <c:pt idx="12">
                  <c:v>15.088101924900636</c:v>
                </c:pt>
                <c:pt idx="13">
                  <c:v>15.915017640742425</c:v>
                </c:pt>
                <c:pt idx="14">
                  <c:v>15.918010783497211</c:v>
                </c:pt>
                <c:pt idx="15">
                  <c:v>15.920768006364078</c:v>
                </c:pt>
                <c:pt idx="16">
                  <c:v>16.878718419633071</c:v>
                </c:pt>
                <c:pt idx="17">
                  <c:v>19.411037767127816</c:v>
                </c:pt>
                <c:pt idx="18">
                  <c:v>19.465645399317321</c:v>
                </c:pt>
                <c:pt idx="19">
                  <c:v>22.269474358094936</c:v>
                </c:pt>
                <c:pt idx="20">
                  <c:v>23.035961695758317</c:v>
                </c:pt>
                <c:pt idx="21">
                  <c:v>24.07862075495942</c:v>
                </c:pt>
                <c:pt idx="22">
                  <c:v>28.516179868251442</c:v>
                </c:pt>
              </c:numCache>
            </c:numRef>
          </c:val>
          <c:extLst>
            <c:ext xmlns:c16="http://schemas.microsoft.com/office/drawing/2014/chart" uri="{C3380CC4-5D6E-409C-BE32-E72D297353CC}">
              <c16:uniqueId val="{00000000-250A-4FD9-8010-205D09CA08CD}"/>
            </c:ext>
          </c:extLst>
        </c:ser>
        <c:dLbls>
          <c:showLegendKey val="0"/>
          <c:showVal val="0"/>
          <c:showCatName val="0"/>
          <c:showSerName val="0"/>
          <c:showPercent val="0"/>
          <c:showBubbleSize val="0"/>
        </c:dLbls>
        <c:gapWidth val="182"/>
        <c:axId val="166737208"/>
        <c:axId val="166737600"/>
      </c:barChart>
      <c:catAx>
        <c:axId val="166737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37600"/>
        <c:crosses val="autoZero"/>
        <c:auto val="1"/>
        <c:lblAlgn val="ctr"/>
        <c:lblOffset val="100"/>
        <c:noMultiLvlLbl val="0"/>
      </c:catAx>
      <c:valAx>
        <c:axId val="16673760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37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Nov-17 Total DTOC bed days per 100,000 population aged 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4"/>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workings!$A$616:$A$631</c:f>
              <c:strCache>
                <c:ptCount val="16"/>
                <c:pt idx="0">
                  <c:v>DERBYSHIRE</c:v>
                </c:pt>
                <c:pt idx="1">
                  <c:v>GLOUCESTERSHIRE</c:v>
                </c:pt>
                <c:pt idx="2">
                  <c:v>NOTTINGHAMSHIRE</c:v>
                </c:pt>
                <c:pt idx="3">
                  <c:v>ESSEX</c:v>
                </c:pt>
                <c:pt idx="4">
                  <c:v>KENT</c:v>
                </c:pt>
                <c:pt idx="5">
                  <c:v>DEVON</c:v>
                </c:pt>
                <c:pt idx="6">
                  <c:v>LINCOLNSHIRE</c:v>
                </c:pt>
                <c:pt idx="7">
                  <c:v>SUFFOLK</c:v>
                </c:pt>
                <c:pt idx="8">
                  <c:v>WARWICKSHIRE</c:v>
                </c:pt>
                <c:pt idx="9">
                  <c:v>NORFOLK</c:v>
                </c:pt>
                <c:pt idx="10">
                  <c:v>NORTH YORKSHIRE</c:v>
                </c:pt>
                <c:pt idx="11">
                  <c:v>WORCESTERSHIRE</c:v>
                </c:pt>
                <c:pt idx="12">
                  <c:v>LANCASHIRE</c:v>
                </c:pt>
                <c:pt idx="13">
                  <c:v>STAFFORDSHIRE</c:v>
                </c:pt>
                <c:pt idx="14">
                  <c:v>NORTHAMPTONSHIRE</c:v>
                </c:pt>
                <c:pt idx="15">
                  <c:v>CUMBRIA</c:v>
                </c:pt>
              </c:strCache>
            </c:strRef>
          </c:cat>
          <c:val>
            <c:numRef>
              <c:f>workings!$I$616:$I$631</c:f>
              <c:numCache>
                <c:formatCode>0.0</c:formatCode>
                <c:ptCount val="16"/>
                <c:pt idx="0">
                  <c:v>4.5196597296737737</c:v>
                </c:pt>
                <c:pt idx="1">
                  <c:v>6.7291680923378667</c:v>
                </c:pt>
                <c:pt idx="2">
                  <c:v>7.6242025903730761</c:v>
                </c:pt>
                <c:pt idx="3">
                  <c:v>9.398973070869463</c:v>
                </c:pt>
                <c:pt idx="4">
                  <c:v>11.08769120132003</c:v>
                </c:pt>
                <c:pt idx="5">
                  <c:v>11.294835546461</c:v>
                </c:pt>
                <c:pt idx="6">
                  <c:v>12.61645207582319</c:v>
                </c:pt>
                <c:pt idx="7">
                  <c:v>12.634842376407004</c:v>
                </c:pt>
                <c:pt idx="8">
                  <c:v>12.759127510121621</c:v>
                </c:pt>
                <c:pt idx="9">
                  <c:v>13.543880791736568</c:v>
                </c:pt>
                <c:pt idx="10">
                  <c:v>14.245890634762413</c:v>
                </c:pt>
                <c:pt idx="11">
                  <c:v>15.210466171166624</c:v>
                </c:pt>
                <c:pt idx="12">
                  <c:v>15.920768006364078</c:v>
                </c:pt>
                <c:pt idx="13">
                  <c:v>18.844634863720042</c:v>
                </c:pt>
                <c:pt idx="14">
                  <c:v>21.581792175030248</c:v>
                </c:pt>
                <c:pt idx="15">
                  <c:v>28.516179868251442</c:v>
                </c:pt>
              </c:numCache>
            </c:numRef>
          </c:val>
          <c:extLst>
            <c:ext xmlns:c16="http://schemas.microsoft.com/office/drawing/2014/chart" uri="{C3380CC4-5D6E-409C-BE32-E72D297353CC}">
              <c16:uniqueId val="{00000000-16A4-428B-B028-99B93A343D40}"/>
            </c:ext>
          </c:extLst>
        </c:ser>
        <c:dLbls>
          <c:showLegendKey val="0"/>
          <c:showVal val="0"/>
          <c:showCatName val="0"/>
          <c:showSerName val="0"/>
          <c:showPercent val="0"/>
          <c:showBubbleSize val="0"/>
        </c:dLbls>
        <c:gapWidth val="182"/>
        <c:axId val="166738384"/>
        <c:axId val="166738776"/>
      </c:barChart>
      <c:catAx>
        <c:axId val="166738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38776"/>
        <c:crosses val="autoZero"/>
        <c:auto val="1"/>
        <c:lblAlgn val="ctr"/>
        <c:lblOffset val="100"/>
        <c:noMultiLvlLbl val="0"/>
      </c:catAx>
      <c:valAx>
        <c:axId val="16673877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38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Nov-17 Social Care DTOC bed days per 100,000 pop aged 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4"/>
          <c:order val="0"/>
          <c:tx>
            <c:strRef>
              <c:f>workings!$J$470</c:f>
              <c:strCache>
                <c:ptCount val="1"/>
                <c:pt idx="0">
                  <c:v>social care bed days per 100,000 pop</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workings!$A$585:$A$607</c:f>
              <c:strCache>
                <c:ptCount val="23"/>
                <c:pt idx="0">
                  <c:v>HALTON UA</c:v>
                </c:pt>
                <c:pt idx="1">
                  <c:v>KNOWSLEY</c:v>
                </c:pt>
                <c:pt idx="2">
                  <c:v>WIRRAL</c:v>
                </c:pt>
                <c:pt idx="3">
                  <c:v>ST HELENS</c:v>
                </c:pt>
                <c:pt idx="4">
                  <c:v>WIGAN</c:v>
                </c:pt>
                <c:pt idx="5">
                  <c:v>SALFORD</c:v>
                </c:pt>
                <c:pt idx="6">
                  <c:v>OLDHAM</c:v>
                </c:pt>
                <c:pt idx="7">
                  <c:v>BLACKBURN WITH DARWEN UA</c:v>
                </c:pt>
                <c:pt idx="8">
                  <c:v>BOLTON</c:v>
                </c:pt>
                <c:pt idx="9">
                  <c:v>SEFTON</c:v>
                </c:pt>
                <c:pt idx="10">
                  <c:v>CHESHIRE EAST</c:v>
                </c:pt>
                <c:pt idx="11">
                  <c:v>ROCHDALE</c:v>
                </c:pt>
                <c:pt idx="12">
                  <c:v>LIVERPOOL</c:v>
                </c:pt>
                <c:pt idx="13">
                  <c:v>CHESHIRE WEST AND CHESTER</c:v>
                </c:pt>
                <c:pt idx="14">
                  <c:v>LANCASHIRE</c:v>
                </c:pt>
                <c:pt idx="15">
                  <c:v>WARRINGTON UA</c:v>
                </c:pt>
                <c:pt idx="16">
                  <c:v>BLACKPOOL UA</c:v>
                </c:pt>
                <c:pt idx="17">
                  <c:v>MANCHESTER</c:v>
                </c:pt>
                <c:pt idx="18">
                  <c:v>TAMESIDE</c:v>
                </c:pt>
                <c:pt idx="19">
                  <c:v>BURY</c:v>
                </c:pt>
                <c:pt idx="20">
                  <c:v>STOCKPORT</c:v>
                </c:pt>
                <c:pt idx="21">
                  <c:v>CUMBRIA</c:v>
                </c:pt>
                <c:pt idx="22">
                  <c:v>TRAFFORD</c:v>
                </c:pt>
              </c:strCache>
            </c:strRef>
          </c:cat>
          <c:val>
            <c:numRef>
              <c:f>workings!$J$585:$J$607</c:f>
              <c:numCache>
                <c:formatCode>0.0</c:formatCode>
                <c:ptCount val="23"/>
                <c:pt idx="0">
                  <c:v>1.0821852024700871</c:v>
                </c:pt>
                <c:pt idx="1">
                  <c:v>1.7070870151438866</c:v>
                </c:pt>
                <c:pt idx="2">
                  <c:v>1.7218106087191931</c:v>
                </c:pt>
                <c:pt idx="3">
                  <c:v>1.9705681570261311</c:v>
                </c:pt>
                <c:pt idx="4">
                  <c:v>2.0112972214059468</c:v>
                </c:pt>
                <c:pt idx="5">
                  <c:v>2.0978960853602917</c:v>
                </c:pt>
                <c:pt idx="6">
                  <c:v>2.4340413135390184</c:v>
                </c:pt>
                <c:pt idx="7">
                  <c:v>2.9448033423517925</c:v>
                </c:pt>
                <c:pt idx="8">
                  <c:v>2.9910991672718223</c:v>
                </c:pt>
                <c:pt idx="9">
                  <c:v>3.0330191668703734</c:v>
                </c:pt>
                <c:pt idx="10">
                  <c:v>3.06478309744461</c:v>
                </c:pt>
                <c:pt idx="11">
                  <c:v>3.217932994134856</c:v>
                </c:pt>
                <c:pt idx="12">
                  <c:v>5.5691813727862263</c:v>
                </c:pt>
                <c:pt idx="13">
                  <c:v>6.2056638759758984</c:v>
                </c:pt>
                <c:pt idx="14">
                  <c:v>6.7786687618915495</c:v>
                </c:pt>
                <c:pt idx="15">
                  <c:v>7.1683714394211604</c:v>
                </c:pt>
                <c:pt idx="16">
                  <c:v>8.620429815836264</c:v>
                </c:pt>
                <c:pt idx="17">
                  <c:v>8.9455625738542643</c:v>
                </c:pt>
                <c:pt idx="18">
                  <c:v>9.2230403436109754</c:v>
                </c:pt>
                <c:pt idx="19">
                  <c:v>10.288771520680411</c:v>
                </c:pt>
                <c:pt idx="20">
                  <c:v>10.532389654593119</c:v>
                </c:pt>
                <c:pt idx="21">
                  <c:v>13.645325180683333</c:v>
                </c:pt>
                <c:pt idx="22">
                  <c:v>14.392839191552692</c:v>
                </c:pt>
              </c:numCache>
            </c:numRef>
          </c:val>
          <c:extLst>
            <c:ext xmlns:c16="http://schemas.microsoft.com/office/drawing/2014/chart" uri="{C3380CC4-5D6E-409C-BE32-E72D297353CC}">
              <c16:uniqueId val="{00000000-949E-4C72-AC59-864FC3B5D26A}"/>
            </c:ext>
          </c:extLst>
        </c:ser>
        <c:dLbls>
          <c:showLegendKey val="0"/>
          <c:showVal val="0"/>
          <c:showCatName val="0"/>
          <c:showSerName val="0"/>
          <c:showPercent val="0"/>
          <c:showBubbleSize val="0"/>
        </c:dLbls>
        <c:gapWidth val="182"/>
        <c:axId val="166739952"/>
        <c:axId val="166740344"/>
      </c:barChart>
      <c:catAx>
        <c:axId val="16673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40344"/>
        <c:crosses val="autoZero"/>
        <c:auto val="1"/>
        <c:lblAlgn val="ctr"/>
        <c:lblOffset val="100"/>
        <c:noMultiLvlLbl val="0"/>
      </c:catAx>
      <c:valAx>
        <c:axId val="1667403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39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Nov-17 Social Care DTOC bed days per 100,000 pop aged 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4"/>
          <c:order val="0"/>
          <c:tx>
            <c:strRef>
              <c:f>workings!$J$470</c:f>
              <c:strCache>
                <c:ptCount val="1"/>
                <c:pt idx="0">
                  <c:v>social care bed days per 100,000 pop</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workings!$A$616:$A$631</c:f>
              <c:strCache>
                <c:ptCount val="16"/>
                <c:pt idx="0">
                  <c:v>NOTTINGHAMSHIRE</c:v>
                </c:pt>
                <c:pt idx="1">
                  <c:v>DERBYSHIRE</c:v>
                </c:pt>
                <c:pt idx="2">
                  <c:v>LINCOLNSHIRE</c:v>
                </c:pt>
                <c:pt idx="3">
                  <c:v>DEVON</c:v>
                </c:pt>
                <c:pt idx="4">
                  <c:v>ESSEX</c:v>
                </c:pt>
                <c:pt idx="5">
                  <c:v>KENT</c:v>
                </c:pt>
                <c:pt idx="6">
                  <c:v>GLOUCESTERSHIRE</c:v>
                </c:pt>
                <c:pt idx="7">
                  <c:v>WORCESTERSHIRE</c:v>
                </c:pt>
                <c:pt idx="8">
                  <c:v>NORTH YORKSHIRE</c:v>
                </c:pt>
                <c:pt idx="9">
                  <c:v>SUFFOLK</c:v>
                </c:pt>
                <c:pt idx="10">
                  <c:v>NORFOLK</c:v>
                </c:pt>
                <c:pt idx="11">
                  <c:v>WARWICKSHIRE</c:v>
                </c:pt>
                <c:pt idx="12">
                  <c:v>LANCASHIRE</c:v>
                </c:pt>
                <c:pt idx="13">
                  <c:v>STAFFORDSHIRE</c:v>
                </c:pt>
                <c:pt idx="14">
                  <c:v>NORTHAMPTONSHIRE</c:v>
                </c:pt>
                <c:pt idx="15">
                  <c:v>CUMBRIA</c:v>
                </c:pt>
              </c:strCache>
            </c:strRef>
          </c:cat>
          <c:val>
            <c:numRef>
              <c:f>workings!$J$616:$J$631</c:f>
              <c:numCache>
                <c:formatCode>0.0</c:formatCode>
                <c:ptCount val="16"/>
                <c:pt idx="0">
                  <c:v>0.43817256266512</c:v>
                </c:pt>
                <c:pt idx="1">
                  <c:v>0.58471122376898454</c:v>
                </c:pt>
                <c:pt idx="2">
                  <c:v>0.68918064202734541</c:v>
                </c:pt>
                <c:pt idx="3">
                  <c:v>1.9435918310468612</c:v>
                </c:pt>
                <c:pt idx="4">
                  <c:v>2.8730358769992694</c:v>
                </c:pt>
                <c:pt idx="5">
                  <c:v>2.8870461795031277</c:v>
                </c:pt>
                <c:pt idx="6">
                  <c:v>3.0526136410904572</c:v>
                </c:pt>
                <c:pt idx="7">
                  <c:v>3.5688564456045553</c:v>
                </c:pt>
                <c:pt idx="8">
                  <c:v>4.6552070644305195</c:v>
                </c:pt>
                <c:pt idx="9">
                  <c:v>4.8673369652884642</c:v>
                </c:pt>
                <c:pt idx="10">
                  <c:v>5.6755309984419853</c:v>
                </c:pt>
                <c:pt idx="11">
                  <c:v>6.4396774300201587</c:v>
                </c:pt>
                <c:pt idx="12">
                  <c:v>6.7786687618915495</c:v>
                </c:pt>
                <c:pt idx="13">
                  <c:v>6.9307015760186159</c:v>
                </c:pt>
                <c:pt idx="14">
                  <c:v>9.0623571167382924</c:v>
                </c:pt>
                <c:pt idx="15">
                  <c:v>13.645325180683333</c:v>
                </c:pt>
              </c:numCache>
            </c:numRef>
          </c:val>
          <c:extLst>
            <c:ext xmlns:c16="http://schemas.microsoft.com/office/drawing/2014/chart" uri="{C3380CC4-5D6E-409C-BE32-E72D297353CC}">
              <c16:uniqueId val="{00000000-BB6D-44A2-A6A9-47161BF812EC}"/>
            </c:ext>
          </c:extLst>
        </c:ser>
        <c:dLbls>
          <c:showLegendKey val="0"/>
          <c:showVal val="0"/>
          <c:showCatName val="0"/>
          <c:showSerName val="0"/>
          <c:showPercent val="0"/>
          <c:showBubbleSize val="0"/>
        </c:dLbls>
        <c:gapWidth val="182"/>
        <c:axId val="166741128"/>
        <c:axId val="166741520"/>
      </c:barChart>
      <c:catAx>
        <c:axId val="166741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41520"/>
        <c:crosses val="autoZero"/>
        <c:auto val="1"/>
        <c:lblAlgn val="ctr"/>
        <c:lblOffset val="100"/>
        <c:noMultiLvlLbl val="0"/>
      </c:catAx>
      <c:valAx>
        <c:axId val="1667415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41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ASCOF 2C Part 2 (Social Care DToC) - Scores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3"/>
          <c:order val="3"/>
          <c:tx>
            <c:strRef>
              <c:f>'Summary Nov-17'!$A$35</c:f>
              <c:strCache>
                <c:ptCount val="1"/>
                <c:pt idx="0">
                  <c:v>Lancashire</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Nov-17'!$B$24:$D$24</c:f>
              <c:strCache>
                <c:ptCount val="3"/>
                <c:pt idx="0">
                  <c:v>2015/16</c:v>
                </c:pt>
                <c:pt idx="1">
                  <c:v>2016/17</c:v>
                </c:pt>
                <c:pt idx="2">
                  <c:v>2017/18 (Apr-Nov)</c:v>
                </c:pt>
              </c:strCache>
            </c:strRef>
          </c:cat>
          <c:val>
            <c:numRef>
              <c:f>'Summary Nov-17'!$B$35:$D$35</c:f>
              <c:numCache>
                <c:formatCode>0.0</c:formatCode>
                <c:ptCount val="3"/>
                <c:pt idx="0">
                  <c:v>1.2409872132583912</c:v>
                </c:pt>
                <c:pt idx="1">
                  <c:v>4.1463777246091089</c:v>
                </c:pt>
                <c:pt idx="2">
                  <c:v>7.8587056659690706</c:v>
                </c:pt>
              </c:numCache>
            </c:numRef>
          </c:val>
          <c:extLst>
            <c:ext xmlns:c16="http://schemas.microsoft.com/office/drawing/2014/chart" uri="{C3380CC4-5D6E-409C-BE32-E72D297353CC}">
              <c16:uniqueId val="{00000000-2BC9-4DE2-85F6-69DB0B3E59D2}"/>
            </c:ext>
          </c:extLst>
        </c:ser>
        <c:dLbls>
          <c:showLegendKey val="0"/>
          <c:showVal val="0"/>
          <c:showCatName val="0"/>
          <c:showSerName val="0"/>
          <c:showPercent val="0"/>
          <c:showBubbleSize val="0"/>
        </c:dLbls>
        <c:gapWidth val="219"/>
        <c:axId val="166742304"/>
        <c:axId val="166742696"/>
      </c:barChart>
      <c:lineChart>
        <c:grouping val="standard"/>
        <c:varyColors val="0"/>
        <c:ser>
          <c:idx val="0"/>
          <c:order val="0"/>
          <c:tx>
            <c:strRef>
              <c:f>'Summary Nov-17'!$A$31</c:f>
              <c:strCache>
                <c:ptCount val="1"/>
                <c:pt idx="0">
                  <c:v>average value NW</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'Summary Nov-17'!$B$24:$D$24</c:f>
              <c:strCache>
                <c:ptCount val="3"/>
                <c:pt idx="0">
                  <c:v>2015/16</c:v>
                </c:pt>
                <c:pt idx="1">
                  <c:v>2016/17</c:v>
                </c:pt>
                <c:pt idx="2">
                  <c:v>2017/18 (Apr-Nov)</c:v>
                </c:pt>
              </c:strCache>
            </c:strRef>
          </c:cat>
          <c:val>
            <c:numRef>
              <c:f>'Summary Nov-17'!$B$31:$D$31</c:f>
              <c:numCache>
                <c:formatCode>0.0</c:formatCode>
                <c:ptCount val="3"/>
                <c:pt idx="0">
                  <c:v>3.2810151977487672</c:v>
                </c:pt>
                <c:pt idx="1">
                  <c:v>5.8307425997577793</c:v>
                </c:pt>
                <c:pt idx="2">
                  <c:v>5.8980856223950395</c:v>
                </c:pt>
              </c:numCache>
            </c:numRef>
          </c:val>
          <c:smooth val="0"/>
          <c:extLst>
            <c:ext xmlns:c16="http://schemas.microsoft.com/office/drawing/2014/chart" uri="{C3380CC4-5D6E-409C-BE32-E72D297353CC}">
              <c16:uniqueId val="{00000001-2BC9-4DE2-85F6-69DB0B3E59D2}"/>
            </c:ext>
          </c:extLst>
        </c:ser>
        <c:ser>
          <c:idx val="1"/>
          <c:order val="1"/>
          <c:tx>
            <c:strRef>
              <c:f>'Summary Nov-17'!$A$32</c:f>
              <c:strCache>
                <c:ptCount val="1"/>
                <c:pt idx="0">
                  <c:v>average value England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'Summary Nov-17'!$B$24:$D$24</c:f>
              <c:strCache>
                <c:ptCount val="3"/>
                <c:pt idx="0">
                  <c:v>2015/16</c:v>
                </c:pt>
                <c:pt idx="1">
                  <c:v>2016/17</c:v>
                </c:pt>
                <c:pt idx="2">
                  <c:v>2017/18 (Apr-Nov)</c:v>
                </c:pt>
              </c:strCache>
            </c:strRef>
          </c:cat>
          <c:val>
            <c:numRef>
              <c:f>'Summary Nov-17'!$B$32:$D$32</c:f>
              <c:numCache>
                <c:formatCode>0.0</c:formatCode>
                <c:ptCount val="3"/>
                <c:pt idx="0">
                  <c:v>3.1783892671286083</c:v>
                </c:pt>
                <c:pt idx="1">
                  <c:v>4.3266592321969997</c:v>
                </c:pt>
                <c:pt idx="2">
                  <c:v>4.0178086411522385</c:v>
                </c:pt>
              </c:numCache>
            </c:numRef>
          </c:val>
          <c:smooth val="0"/>
          <c:extLst>
            <c:ext xmlns:c16="http://schemas.microsoft.com/office/drawing/2014/chart" uri="{C3380CC4-5D6E-409C-BE32-E72D297353CC}">
              <c16:uniqueId val="{00000002-2BC9-4DE2-85F6-69DB0B3E59D2}"/>
            </c:ext>
          </c:extLst>
        </c:ser>
        <c:ser>
          <c:idx val="2"/>
          <c:order val="2"/>
          <c:tx>
            <c:strRef>
              <c:f>'Summary Nov-17'!$A$33</c:f>
              <c:strCache>
                <c:ptCount val="1"/>
                <c:pt idx="0">
                  <c:v>average value comparator gp</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'Summary Nov-17'!$B$24:$D$24</c:f>
              <c:strCache>
                <c:ptCount val="3"/>
                <c:pt idx="0">
                  <c:v>2015/16</c:v>
                </c:pt>
                <c:pt idx="1">
                  <c:v>2016/17</c:v>
                </c:pt>
                <c:pt idx="2">
                  <c:v>2017/18 (Apr-Nov)</c:v>
                </c:pt>
              </c:strCache>
            </c:strRef>
          </c:cat>
          <c:val>
            <c:numRef>
              <c:f>'Summary Nov-17'!$B$33:$D$33</c:f>
              <c:numCache>
                <c:formatCode>0.0</c:formatCode>
                <c:ptCount val="3"/>
                <c:pt idx="0">
                  <c:v>3.6321875719921759</c:v>
                </c:pt>
                <c:pt idx="1">
                  <c:v>6.2450405075404465</c:v>
                </c:pt>
                <c:pt idx="2">
                  <c:v>6.2032365311285238</c:v>
                </c:pt>
              </c:numCache>
            </c:numRef>
          </c:val>
          <c:smooth val="0"/>
          <c:extLst>
            <c:ext xmlns:c16="http://schemas.microsoft.com/office/drawing/2014/chart" uri="{C3380CC4-5D6E-409C-BE32-E72D297353CC}">
              <c16:uniqueId val="{00000003-2BC9-4DE2-85F6-69DB0B3E59D2}"/>
            </c:ext>
          </c:extLst>
        </c:ser>
        <c:ser>
          <c:idx val="4"/>
          <c:order val="4"/>
          <c:tx>
            <c:strRef>
              <c:f>'Summary Nov-17'!$A$26</c:f>
              <c:strCache>
                <c:ptCount val="1"/>
                <c:pt idx="0">
                  <c:v>first quartile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'Summary Nov-17'!$B$24:$D$24</c:f>
              <c:strCache>
                <c:ptCount val="3"/>
                <c:pt idx="0">
                  <c:v>2015/16</c:v>
                </c:pt>
                <c:pt idx="1">
                  <c:v>2016/17</c:v>
                </c:pt>
                <c:pt idx="2">
                  <c:v>2017/18 (Apr-Nov)</c:v>
                </c:pt>
              </c:strCache>
            </c:strRef>
          </c:cat>
          <c:val>
            <c:numRef>
              <c:f>'Summary Nov-17'!$B$26:$D$26</c:f>
              <c:numCache>
                <c:formatCode>0.0</c:formatCode>
                <c:ptCount val="3"/>
                <c:pt idx="0">
                  <c:v>1.2728768049149219</c:v>
                </c:pt>
                <c:pt idx="1">
                  <c:v>1.874856369062095</c:v>
                </c:pt>
                <c:pt idx="2">
                  <c:v>1.585655852177426</c:v>
                </c:pt>
              </c:numCache>
            </c:numRef>
          </c:val>
          <c:smooth val="0"/>
          <c:extLst>
            <c:ext xmlns:c16="http://schemas.microsoft.com/office/drawing/2014/chart" uri="{C3380CC4-5D6E-409C-BE32-E72D297353CC}">
              <c16:uniqueId val="{00000004-2BC9-4DE2-85F6-69DB0B3E59D2}"/>
            </c:ext>
          </c:extLst>
        </c:ser>
        <c:dLbls>
          <c:showLegendKey val="0"/>
          <c:showVal val="0"/>
          <c:showCatName val="0"/>
          <c:showSerName val="0"/>
          <c:showPercent val="0"/>
          <c:showBubbleSize val="0"/>
        </c:dLbls>
        <c:marker val="1"/>
        <c:smooth val="0"/>
        <c:axId val="166742304"/>
        <c:axId val="166742696"/>
      </c:lineChart>
      <c:catAx>
        <c:axId val="16674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42696"/>
        <c:crosses val="autoZero"/>
        <c:auto val="1"/>
        <c:lblAlgn val="ctr"/>
        <c:lblOffset val="100"/>
        <c:noMultiLvlLbl val="0"/>
      </c:catAx>
      <c:valAx>
        <c:axId val="166742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4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ASCOF 2C Part 2 (Social Care DToC) - Ranking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3"/>
          <c:order val="3"/>
          <c:tx>
            <c:strRef>
              <c:f>'Summary Nov-17'!$A$35</c:f>
              <c:strCache>
                <c:ptCount val="1"/>
                <c:pt idx="0">
                  <c:v>Lancashire</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Nov-17'!$E$24:$G$24</c:f>
              <c:strCache>
                <c:ptCount val="3"/>
                <c:pt idx="0">
                  <c:v>2015/16</c:v>
                </c:pt>
                <c:pt idx="1">
                  <c:v>2016/17</c:v>
                </c:pt>
                <c:pt idx="2">
                  <c:v>2017/18 (Apr-Nov)</c:v>
                </c:pt>
              </c:strCache>
            </c:strRef>
          </c:cat>
          <c:val>
            <c:numRef>
              <c:f>'Summary Nov-17'!$E$35:$G$35</c:f>
              <c:numCache>
                <c:formatCode>0</c:formatCode>
                <c:ptCount val="3"/>
                <c:pt idx="0">
                  <c:v>37</c:v>
                </c:pt>
                <c:pt idx="1">
                  <c:v>86</c:v>
                </c:pt>
                <c:pt idx="2">
                  <c:v>135</c:v>
                </c:pt>
              </c:numCache>
            </c:numRef>
          </c:val>
          <c:extLst>
            <c:ext xmlns:c16="http://schemas.microsoft.com/office/drawing/2014/chart" uri="{C3380CC4-5D6E-409C-BE32-E72D297353CC}">
              <c16:uniqueId val="{00000000-ABC9-4497-AD98-E7433010272C}"/>
            </c:ext>
          </c:extLst>
        </c:ser>
        <c:dLbls>
          <c:showLegendKey val="0"/>
          <c:showVal val="0"/>
          <c:showCatName val="0"/>
          <c:showSerName val="0"/>
          <c:showPercent val="0"/>
          <c:showBubbleSize val="0"/>
        </c:dLbls>
        <c:gapWidth val="219"/>
        <c:axId val="167314952"/>
        <c:axId val="167315344"/>
      </c:barChart>
      <c:lineChart>
        <c:grouping val="standard"/>
        <c:varyColors val="0"/>
        <c:ser>
          <c:idx val="0"/>
          <c:order val="0"/>
          <c:tx>
            <c:strRef>
              <c:f>'Summary Nov-17'!$A$28</c:f>
              <c:strCache>
                <c:ptCount val="1"/>
                <c:pt idx="0">
                  <c:v>third quartile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'Summary Nov-17'!$E$24:$G$24</c:f>
              <c:strCache>
                <c:ptCount val="3"/>
                <c:pt idx="0">
                  <c:v>2015/16</c:v>
                </c:pt>
                <c:pt idx="1">
                  <c:v>2016/17</c:v>
                </c:pt>
                <c:pt idx="2">
                  <c:v>2017/18 (Apr-Nov)</c:v>
                </c:pt>
              </c:strCache>
            </c:strRef>
          </c:cat>
          <c:val>
            <c:numRef>
              <c:f>'Summary Nov-17'!$E$28:$G$28</c:f>
              <c:numCache>
                <c:formatCode>0</c:formatCode>
                <c:ptCount val="3"/>
                <c:pt idx="0">
                  <c:v>113.5</c:v>
                </c:pt>
                <c:pt idx="1">
                  <c:v>113.5</c:v>
                </c:pt>
                <c:pt idx="2">
                  <c:v>113.5</c:v>
                </c:pt>
              </c:numCache>
            </c:numRef>
          </c:val>
          <c:smooth val="0"/>
          <c:extLst>
            <c:ext xmlns:c16="http://schemas.microsoft.com/office/drawing/2014/chart" uri="{C3380CC4-5D6E-409C-BE32-E72D297353CC}">
              <c16:uniqueId val="{00000001-ABC9-4497-AD98-E7433010272C}"/>
            </c:ext>
          </c:extLst>
        </c:ser>
        <c:ser>
          <c:idx val="1"/>
          <c:order val="1"/>
          <c:tx>
            <c:strRef>
              <c:f>'Summary Nov-17'!$A$27</c:f>
              <c:strCache>
                <c:ptCount val="1"/>
                <c:pt idx="0">
                  <c:v>second quartile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'Summary Nov-17'!$E$24:$G$24</c:f>
              <c:strCache>
                <c:ptCount val="3"/>
                <c:pt idx="0">
                  <c:v>2015/16</c:v>
                </c:pt>
                <c:pt idx="1">
                  <c:v>2016/17</c:v>
                </c:pt>
                <c:pt idx="2">
                  <c:v>2017/18 (Apr-Nov)</c:v>
                </c:pt>
              </c:strCache>
            </c:strRef>
          </c:cat>
          <c:val>
            <c:numRef>
              <c:f>'Summary Nov-17'!$E$27:$G$27</c:f>
              <c:numCache>
                <c:formatCode>0</c:formatCode>
                <c:ptCount val="3"/>
                <c:pt idx="0">
                  <c:v>76</c:v>
                </c:pt>
                <c:pt idx="1">
                  <c:v>76</c:v>
                </c:pt>
                <c:pt idx="2">
                  <c:v>76</c:v>
                </c:pt>
              </c:numCache>
            </c:numRef>
          </c:val>
          <c:smooth val="0"/>
          <c:extLst>
            <c:ext xmlns:c16="http://schemas.microsoft.com/office/drawing/2014/chart" uri="{C3380CC4-5D6E-409C-BE32-E72D297353CC}">
              <c16:uniqueId val="{00000002-ABC9-4497-AD98-E7433010272C}"/>
            </c:ext>
          </c:extLst>
        </c:ser>
        <c:ser>
          <c:idx val="2"/>
          <c:order val="2"/>
          <c:tx>
            <c:strRef>
              <c:f>'Summary Nov-17'!$A$29</c:f>
              <c:strCache>
                <c:ptCount val="1"/>
                <c:pt idx="0">
                  <c:v>maximum value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'Summary Nov-17'!$E$24:$G$24</c:f>
              <c:strCache>
                <c:ptCount val="3"/>
                <c:pt idx="0">
                  <c:v>2015/16</c:v>
                </c:pt>
                <c:pt idx="1">
                  <c:v>2016/17</c:v>
                </c:pt>
                <c:pt idx="2">
                  <c:v>2017/18 (Apr-Nov)</c:v>
                </c:pt>
              </c:strCache>
            </c:strRef>
          </c:cat>
          <c:val>
            <c:numRef>
              <c:f>'Summary Nov-17'!$E$29:$G$29</c:f>
              <c:numCache>
                <c:formatCode>0</c:formatCode>
                <c:ptCount val="3"/>
                <c:pt idx="0">
                  <c:v>151</c:v>
                </c:pt>
                <c:pt idx="1">
                  <c:v>151</c:v>
                </c:pt>
                <c:pt idx="2">
                  <c:v>151</c:v>
                </c:pt>
              </c:numCache>
            </c:numRef>
          </c:val>
          <c:smooth val="0"/>
          <c:extLst>
            <c:ext xmlns:c16="http://schemas.microsoft.com/office/drawing/2014/chart" uri="{C3380CC4-5D6E-409C-BE32-E72D297353CC}">
              <c16:uniqueId val="{00000003-ABC9-4497-AD98-E7433010272C}"/>
            </c:ext>
          </c:extLst>
        </c:ser>
        <c:ser>
          <c:idx val="4"/>
          <c:order val="4"/>
          <c:tx>
            <c:strRef>
              <c:f>'Summary Nov-17'!$A$26</c:f>
              <c:strCache>
                <c:ptCount val="1"/>
                <c:pt idx="0">
                  <c:v>first quartile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'Summary Nov-17'!$E$24:$G$24</c:f>
              <c:strCache>
                <c:ptCount val="3"/>
                <c:pt idx="0">
                  <c:v>2015/16</c:v>
                </c:pt>
                <c:pt idx="1">
                  <c:v>2016/17</c:v>
                </c:pt>
                <c:pt idx="2">
                  <c:v>2017/18 (Apr-Nov)</c:v>
                </c:pt>
              </c:strCache>
            </c:strRef>
          </c:cat>
          <c:val>
            <c:numRef>
              <c:f>'Summary Nov-17'!$E$26:$G$26</c:f>
              <c:numCache>
                <c:formatCode>0</c:formatCode>
                <c:ptCount val="3"/>
                <c:pt idx="0">
                  <c:v>38.5</c:v>
                </c:pt>
                <c:pt idx="1">
                  <c:v>38.5</c:v>
                </c:pt>
                <c:pt idx="2">
                  <c:v>38.5</c:v>
                </c:pt>
              </c:numCache>
            </c:numRef>
          </c:val>
          <c:smooth val="0"/>
          <c:extLst>
            <c:ext xmlns:c16="http://schemas.microsoft.com/office/drawing/2014/chart" uri="{C3380CC4-5D6E-409C-BE32-E72D297353CC}">
              <c16:uniqueId val="{00000004-ABC9-4497-AD98-E7433010272C}"/>
            </c:ext>
          </c:extLst>
        </c:ser>
        <c:dLbls>
          <c:showLegendKey val="0"/>
          <c:showVal val="0"/>
          <c:showCatName val="0"/>
          <c:showSerName val="0"/>
          <c:showPercent val="0"/>
          <c:showBubbleSize val="0"/>
        </c:dLbls>
        <c:marker val="1"/>
        <c:smooth val="0"/>
        <c:axId val="167314952"/>
        <c:axId val="167315344"/>
      </c:lineChart>
      <c:catAx>
        <c:axId val="167314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315344"/>
        <c:crosses val="autoZero"/>
        <c:auto val="1"/>
        <c:lblAlgn val="ctr"/>
        <c:lblOffset val="100"/>
        <c:noMultiLvlLbl val="0"/>
      </c:catAx>
      <c:valAx>
        <c:axId val="167315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314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[DTOC 2015_16 to 2017_18 revised1.xlsx]comparators (4)!PivotTable2</c:name>
    <c:fmtId val="408"/>
  </c:pivotSource>
  <c:chart>
    <c:title>
      <c:tx>
        <c:rich>
          <a:bodyPr/>
          <a:lstStyle/>
          <a:p>
            <a:pPr>
              <a:defRPr/>
            </a:pPr>
            <a:r>
              <a:rPr lang="en-GB" sz="1200" b="1" i="0" baseline="0">
                <a:effectLst/>
              </a:rPr>
              <a:t>Provider delayed days for Lancashire residents attributable to social care </a:t>
            </a:r>
            <a:endParaRPr lang="en-GB" sz="1200">
              <a:effectLst/>
            </a:endParaRPr>
          </a:p>
        </c:rich>
      </c:tx>
      <c:layout>
        <c:manualLayout>
          <c:xMode val="edge"/>
          <c:yMode val="edge"/>
          <c:x val="9.6887602571450918E-2"/>
          <c:y val="2.0778166743623597E-2"/>
        </c:manualLayout>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marker>
          <c:symbol val="none"/>
        </c:marker>
      </c:pivotFmt>
      <c:pivotFmt>
        <c:idx val="93"/>
        <c:marker>
          <c:symbol val="none"/>
        </c:marker>
      </c:pivotFmt>
      <c:pivotFmt>
        <c:idx val="94"/>
        <c:marker>
          <c:symbol val="none"/>
        </c:marker>
      </c:pivotFmt>
      <c:pivotFmt>
        <c:idx val="95"/>
        <c:marker>
          <c:symbol val="none"/>
        </c:marker>
      </c:pivotFmt>
      <c:pivotFmt>
        <c:idx val="96"/>
        <c:marker>
          <c:symbol val="none"/>
        </c:marker>
      </c:pivotFmt>
      <c:pivotFmt>
        <c:idx val="97"/>
        <c:marker>
          <c:symbol val="none"/>
        </c:marker>
      </c:pivotFmt>
      <c:pivotFmt>
        <c:idx val="98"/>
        <c:marker>
          <c:symbol val="none"/>
        </c:marker>
      </c:pivotFmt>
      <c:pivotFmt>
        <c:idx val="99"/>
        <c:marker>
          <c:symbol val="none"/>
        </c:marker>
      </c:pivotFmt>
      <c:pivotFmt>
        <c:idx val="100"/>
        <c:marker>
          <c:symbol val="none"/>
        </c:marker>
      </c:pivotFmt>
      <c:pivotFmt>
        <c:idx val="101"/>
      </c:pivotFmt>
      <c:pivotFmt>
        <c:idx val="102"/>
        <c:marker>
          <c:symbol val="none"/>
        </c:marker>
      </c:pivotFmt>
      <c:pivotFmt>
        <c:idx val="103"/>
        <c:marker>
          <c:symbol val="none"/>
        </c:marker>
      </c:pivotFmt>
      <c:pivotFmt>
        <c:idx val="104"/>
        <c:marker>
          <c:symbol val="none"/>
        </c:marker>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marker>
          <c:symbol val="none"/>
        </c:marker>
      </c:pivotFmt>
      <c:pivotFmt>
        <c:idx val="124"/>
        <c:marker>
          <c:symbol val="none"/>
        </c:marker>
      </c:pivotFmt>
      <c:pivotFmt>
        <c:idx val="125"/>
        <c:marker>
          <c:symbol val="none"/>
        </c:marker>
      </c:pivotFmt>
      <c:pivotFmt>
        <c:idx val="126"/>
        <c:marker>
          <c:symbol val="none"/>
        </c:marker>
      </c:pivotFmt>
      <c:pivotFmt>
        <c:idx val="127"/>
        <c:marker>
          <c:symbol val="none"/>
        </c:marker>
      </c:pivotFmt>
      <c:pivotFmt>
        <c:idx val="128"/>
        <c:marker>
          <c:symbol val="none"/>
        </c:marker>
      </c:pivotFmt>
      <c:pivotFmt>
        <c:idx val="129"/>
        <c:marker>
          <c:symbol val="none"/>
        </c:marker>
      </c:pivotFmt>
      <c:pivotFmt>
        <c:idx val="130"/>
      </c:pivotFmt>
      <c:pivotFmt>
        <c:idx val="131"/>
      </c:pivotFmt>
      <c:pivotFmt>
        <c:idx val="132"/>
      </c:pivotFmt>
      <c:pivotFmt>
        <c:idx val="133"/>
      </c:pivotFmt>
      <c:pivotFmt>
        <c:idx val="134"/>
      </c:pivotFmt>
      <c:pivotFmt>
        <c:idx val="135"/>
      </c:pivotFmt>
      <c:pivotFmt>
        <c:idx val="136"/>
      </c:pivotFmt>
      <c:pivotFmt>
        <c:idx val="137"/>
      </c:pivotFmt>
      <c:pivotFmt>
        <c:idx val="138"/>
      </c:pivotFmt>
      <c:pivotFmt>
        <c:idx val="139"/>
        <c:dLbl>
          <c:idx val="0"/>
          <c:delete val="1"/>
          <c:extLst>
            <c:ext xmlns:c15="http://schemas.microsoft.com/office/drawing/2012/chart" uri="{CE6537A1-D6FC-4f65-9D91-7224C49458BB}"/>
          </c:extLst>
        </c:dLbl>
      </c:pivotFmt>
      <c:pivotFmt>
        <c:idx val="140"/>
      </c:pivotFmt>
      <c:pivotFmt>
        <c:idx val="141"/>
      </c:pivotFmt>
      <c:pivotFmt>
        <c:idx val="142"/>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3"/>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4"/>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5"/>
      </c:pivotFmt>
      <c:pivotFmt>
        <c:idx val="146"/>
      </c:pivotFmt>
      <c:pivotFmt>
        <c:idx val="147"/>
      </c:pivotFmt>
      <c:pivotFmt>
        <c:idx val="148"/>
        <c:dLbl>
          <c:idx val="0"/>
          <c:delete val="1"/>
          <c:extLst>
            <c:ext xmlns:c15="http://schemas.microsoft.com/office/drawing/2012/chart" uri="{CE6537A1-D6FC-4f65-9D91-7224C49458BB}"/>
          </c:extLst>
        </c:dLbl>
      </c:pivotFmt>
      <c:pivotFmt>
        <c:idx val="149"/>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0"/>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1"/>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2"/>
      </c:pivotFmt>
      <c:pivotFmt>
        <c:idx val="153"/>
      </c:pivotFmt>
      <c:pivotFmt>
        <c:idx val="154"/>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5"/>
      </c:pivotFmt>
      <c:pivotFmt>
        <c:idx val="156"/>
      </c:pivotFmt>
      <c:pivotFmt>
        <c:idx val="157"/>
      </c:pivotFmt>
      <c:pivotFmt>
        <c:idx val="158"/>
        <c:dLbl>
          <c:idx val="0"/>
          <c:delete val="1"/>
          <c:extLst>
            <c:ext xmlns:c15="http://schemas.microsoft.com/office/drawing/2012/chart" uri="{CE6537A1-D6FC-4f65-9D91-7224C49458BB}"/>
          </c:extLst>
        </c:dLbl>
      </c:pivotFmt>
      <c:pivotFmt>
        <c:idx val="159"/>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0"/>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1"/>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2"/>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3"/>
      </c:pivotFmt>
      <c:pivotFmt>
        <c:idx val="164"/>
      </c:pivotFmt>
      <c:pivotFmt>
        <c:idx val="165"/>
      </c:pivotFmt>
      <c:pivotFmt>
        <c:idx val="166"/>
      </c:pivotFmt>
      <c:pivotFmt>
        <c:idx val="167"/>
      </c:pivotFmt>
      <c:pivotFmt>
        <c:idx val="168"/>
        <c:dLbl>
          <c:idx val="0"/>
          <c:delete val="1"/>
          <c:extLst>
            <c:ext xmlns:c15="http://schemas.microsoft.com/office/drawing/2012/chart" uri="{CE6537A1-D6FC-4f65-9D91-7224C49458BB}"/>
          </c:extLst>
        </c:dLbl>
      </c:pivotFmt>
      <c:pivotFmt>
        <c:idx val="169"/>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0"/>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1"/>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2"/>
        <c:dLbl>
          <c:idx val="0"/>
          <c:spPr>
            <a:noFill/>
            <a:ln>
              <a:noFill/>
            </a:ln>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3"/>
      </c:pivotFmt>
      <c:pivotFmt>
        <c:idx val="174"/>
      </c:pivotFmt>
    </c:pivotFmts>
    <c:plotArea>
      <c:layout/>
      <c:lineChart>
        <c:grouping val="standard"/>
        <c:varyColors val="0"/>
        <c:ser>
          <c:idx val="0"/>
          <c:order val="0"/>
          <c:tx>
            <c:strRef>
              <c:f>'comparators (4)'!$B$41:$B$42</c:f>
              <c:strCache>
                <c:ptCount val="1"/>
                <c:pt idx="0">
                  <c:v>BLACKPOOL TEACHING HOSPITALS NHS FOUNDATION TRUST</c:v>
                </c:pt>
              </c:strCache>
            </c:strRef>
          </c:tx>
          <c:cat>
            <c:multiLvlStrRef>
              <c:f>'comparators (4)'!$A$43:$A$65</c:f>
              <c:multiLvlStrCache>
                <c:ptCount val="20"/>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lvl>
                <c:lvl>
                  <c:pt idx="0">
                    <c:v>2016-17</c:v>
                  </c:pt>
                  <c:pt idx="12">
                    <c:v>2017-18</c:v>
                  </c:pt>
                </c:lvl>
              </c:multiLvlStrCache>
            </c:multiLvlStrRef>
          </c:cat>
          <c:val>
            <c:numRef>
              <c:f>'comparators (4)'!$B$43:$B$65</c:f>
              <c:numCache>
                <c:formatCode>General</c:formatCode>
                <c:ptCount val="20"/>
                <c:pt idx="0">
                  <c:v>165</c:v>
                </c:pt>
                <c:pt idx="1">
                  <c:v>109</c:v>
                </c:pt>
                <c:pt idx="2">
                  <c:v>216</c:v>
                </c:pt>
                <c:pt idx="3">
                  <c:v>156</c:v>
                </c:pt>
                <c:pt idx="4">
                  <c:v>289</c:v>
                </c:pt>
                <c:pt idx="5">
                  <c:v>460</c:v>
                </c:pt>
                <c:pt idx="6">
                  <c:v>245</c:v>
                </c:pt>
                <c:pt idx="7">
                  <c:v>107</c:v>
                </c:pt>
                <c:pt idx="8">
                  <c:v>227</c:v>
                </c:pt>
                <c:pt idx="9">
                  <c:v>302</c:v>
                </c:pt>
                <c:pt idx="10">
                  <c:v>232</c:v>
                </c:pt>
                <c:pt idx="11">
                  <c:v>197</c:v>
                </c:pt>
                <c:pt idx="12">
                  <c:v>199</c:v>
                </c:pt>
                <c:pt idx="13">
                  <c:v>241</c:v>
                </c:pt>
                <c:pt idx="14">
                  <c:v>139</c:v>
                </c:pt>
                <c:pt idx="15">
                  <c:v>153</c:v>
                </c:pt>
                <c:pt idx="16">
                  <c:v>117</c:v>
                </c:pt>
                <c:pt idx="17">
                  <c:v>234</c:v>
                </c:pt>
                <c:pt idx="18">
                  <c:v>196</c:v>
                </c:pt>
                <c:pt idx="19">
                  <c:v>225</c:v>
                </c:pt>
              </c:numCache>
            </c:numRef>
          </c:val>
          <c:smooth val="0"/>
          <c:extLst>
            <c:ext xmlns:c16="http://schemas.microsoft.com/office/drawing/2014/chart" uri="{C3380CC4-5D6E-409C-BE32-E72D297353CC}">
              <c16:uniqueId val="{00000000-9199-46AC-ACC2-78867159E9FC}"/>
            </c:ext>
          </c:extLst>
        </c:ser>
        <c:ser>
          <c:idx val="1"/>
          <c:order val="1"/>
          <c:tx>
            <c:strRef>
              <c:f>'comparators (4)'!$C$41:$C$42</c:f>
              <c:strCache>
                <c:ptCount val="1"/>
                <c:pt idx="0">
                  <c:v>EAST LANCASHIRE HOSPITALS NHS TRUST</c:v>
                </c:pt>
              </c:strCache>
            </c:strRef>
          </c:tx>
          <c:cat>
            <c:multiLvlStrRef>
              <c:f>'comparators (4)'!$A$43:$A$65</c:f>
              <c:multiLvlStrCache>
                <c:ptCount val="20"/>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lvl>
                <c:lvl>
                  <c:pt idx="0">
                    <c:v>2016-17</c:v>
                  </c:pt>
                  <c:pt idx="12">
                    <c:v>2017-18</c:v>
                  </c:pt>
                </c:lvl>
              </c:multiLvlStrCache>
            </c:multiLvlStrRef>
          </c:cat>
          <c:val>
            <c:numRef>
              <c:f>'comparators (4)'!$C$43:$C$65</c:f>
              <c:numCache>
                <c:formatCode>General</c:formatCode>
                <c:ptCount val="20"/>
                <c:pt idx="0">
                  <c:v>80</c:v>
                </c:pt>
                <c:pt idx="1">
                  <c:v>304</c:v>
                </c:pt>
                <c:pt idx="2">
                  <c:v>331</c:v>
                </c:pt>
                <c:pt idx="3">
                  <c:v>288</c:v>
                </c:pt>
                <c:pt idx="4">
                  <c:v>417</c:v>
                </c:pt>
                <c:pt idx="5">
                  <c:v>682</c:v>
                </c:pt>
                <c:pt idx="6">
                  <c:v>628</c:v>
                </c:pt>
                <c:pt idx="7">
                  <c:v>459</c:v>
                </c:pt>
                <c:pt idx="8">
                  <c:v>532</c:v>
                </c:pt>
                <c:pt idx="9">
                  <c:v>630</c:v>
                </c:pt>
                <c:pt idx="10">
                  <c:v>612</c:v>
                </c:pt>
                <c:pt idx="11">
                  <c:v>597</c:v>
                </c:pt>
                <c:pt idx="12">
                  <c:v>461</c:v>
                </c:pt>
                <c:pt idx="13">
                  <c:v>366</c:v>
                </c:pt>
                <c:pt idx="14">
                  <c:v>399</c:v>
                </c:pt>
                <c:pt idx="15">
                  <c:v>283</c:v>
                </c:pt>
                <c:pt idx="16">
                  <c:v>340</c:v>
                </c:pt>
                <c:pt idx="17">
                  <c:v>247</c:v>
                </c:pt>
                <c:pt idx="18">
                  <c:v>108</c:v>
                </c:pt>
                <c:pt idx="19">
                  <c:v>220</c:v>
                </c:pt>
              </c:numCache>
            </c:numRef>
          </c:val>
          <c:smooth val="0"/>
          <c:extLst>
            <c:ext xmlns:c16="http://schemas.microsoft.com/office/drawing/2014/chart" uri="{C3380CC4-5D6E-409C-BE32-E72D297353CC}">
              <c16:uniqueId val="{00000001-9199-46AC-ACC2-78867159E9FC}"/>
            </c:ext>
          </c:extLst>
        </c:ser>
        <c:ser>
          <c:idx val="2"/>
          <c:order val="2"/>
          <c:tx>
            <c:strRef>
              <c:f>'comparators (4)'!$D$41:$D$42</c:f>
              <c:strCache>
                <c:ptCount val="1"/>
                <c:pt idx="0">
                  <c:v>LANCASHIRE CARE NHS FOUNDATION TRUST</c:v>
                </c:pt>
              </c:strCache>
            </c:strRef>
          </c:tx>
          <c:cat>
            <c:multiLvlStrRef>
              <c:f>'comparators (4)'!$A$43:$A$65</c:f>
              <c:multiLvlStrCache>
                <c:ptCount val="20"/>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lvl>
                <c:lvl>
                  <c:pt idx="0">
                    <c:v>2016-17</c:v>
                  </c:pt>
                  <c:pt idx="12">
                    <c:v>2017-18</c:v>
                  </c:pt>
                </c:lvl>
              </c:multiLvlStrCache>
            </c:multiLvlStrRef>
          </c:cat>
          <c:val>
            <c:numRef>
              <c:f>'comparators (4)'!$D$43:$D$65</c:f>
              <c:numCache>
                <c:formatCode>General</c:formatCode>
                <c:ptCount val="20"/>
                <c:pt idx="0">
                  <c:v>87</c:v>
                </c:pt>
                <c:pt idx="1">
                  <c:v>111</c:v>
                </c:pt>
                <c:pt idx="2">
                  <c:v>39</c:v>
                </c:pt>
                <c:pt idx="3">
                  <c:v>76</c:v>
                </c:pt>
                <c:pt idx="4">
                  <c:v>31</c:v>
                </c:pt>
                <c:pt idx="5">
                  <c:v>61</c:v>
                </c:pt>
                <c:pt idx="6">
                  <c:v>93</c:v>
                </c:pt>
                <c:pt idx="7">
                  <c:v>33</c:v>
                </c:pt>
                <c:pt idx="8">
                  <c:v>25</c:v>
                </c:pt>
                <c:pt idx="9">
                  <c:v>31</c:v>
                </c:pt>
                <c:pt idx="10">
                  <c:v>30</c:v>
                </c:pt>
                <c:pt idx="11">
                  <c:v>43</c:v>
                </c:pt>
                <c:pt idx="12">
                  <c:v>133</c:v>
                </c:pt>
                <c:pt idx="13">
                  <c:v>146</c:v>
                </c:pt>
                <c:pt idx="14">
                  <c:v>140</c:v>
                </c:pt>
                <c:pt idx="15">
                  <c:v>170</c:v>
                </c:pt>
                <c:pt idx="16">
                  <c:v>157</c:v>
                </c:pt>
                <c:pt idx="17">
                  <c:v>136</c:v>
                </c:pt>
                <c:pt idx="18">
                  <c:v>127</c:v>
                </c:pt>
                <c:pt idx="19">
                  <c:v>120</c:v>
                </c:pt>
              </c:numCache>
            </c:numRef>
          </c:val>
          <c:smooth val="0"/>
          <c:extLst>
            <c:ext xmlns:c16="http://schemas.microsoft.com/office/drawing/2014/chart" uri="{C3380CC4-5D6E-409C-BE32-E72D297353CC}">
              <c16:uniqueId val="{00000002-9199-46AC-ACC2-78867159E9FC}"/>
            </c:ext>
          </c:extLst>
        </c:ser>
        <c:ser>
          <c:idx val="3"/>
          <c:order val="3"/>
          <c:tx>
            <c:strRef>
              <c:f>'comparators (4)'!$E$41:$E$42</c:f>
              <c:strCache>
                <c:ptCount val="1"/>
                <c:pt idx="0">
                  <c:v>LANCASHIRE TEACHING HOSPITALS NHS FOUNDATION TRUST</c:v>
                </c:pt>
              </c:strCache>
            </c:strRef>
          </c:tx>
          <c:dLbls>
            <c:dLbl>
              <c:idx val="1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99-46AC-ACC2-78867159E9FC}"/>
                </c:ext>
              </c:extLst>
            </c:dLbl>
            <c:dLbl>
              <c:idx val="1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99-46AC-ACC2-78867159E9FC}"/>
                </c:ext>
              </c:extLst>
            </c:dLbl>
            <c:dLbl>
              <c:idx val="1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99-46AC-ACC2-78867159E9FC}"/>
                </c:ext>
              </c:extLst>
            </c:dLbl>
            <c:spPr>
              <a:noFill/>
              <a:ln>
                <a:noFill/>
              </a:ln>
              <a:effectLst/>
            </c:spPr>
            <c:txPr>
              <a:bodyPr wrap="square" lIns="38100" tIns="19050" rIns="38100" bIns="19050" anchor="ctr">
                <a:spAutoFit/>
              </a:bodyPr>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'comparators (4)'!$A$43:$A$65</c:f>
              <c:multiLvlStrCache>
                <c:ptCount val="20"/>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lvl>
                <c:lvl>
                  <c:pt idx="0">
                    <c:v>2016-17</c:v>
                  </c:pt>
                  <c:pt idx="12">
                    <c:v>2017-18</c:v>
                  </c:pt>
                </c:lvl>
              </c:multiLvlStrCache>
            </c:multiLvlStrRef>
          </c:cat>
          <c:val>
            <c:numRef>
              <c:f>'comparators (4)'!$E$43:$E$65</c:f>
              <c:numCache>
                <c:formatCode>General</c:formatCode>
                <c:ptCount val="20"/>
                <c:pt idx="0">
                  <c:v>52</c:v>
                </c:pt>
                <c:pt idx="1">
                  <c:v>13</c:v>
                </c:pt>
                <c:pt idx="2">
                  <c:v>5</c:v>
                </c:pt>
                <c:pt idx="3">
                  <c:v>14</c:v>
                </c:pt>
                <c:pt idx="4">
                  <c:v>57</c:v>
                </c:pt>
                <c:pt idx="5">
                  <c:v>62</c:v>
                </c:pt>
                <c:pt idx="6">
                  <c:v>63</c:v>
                </c:pt>
                <c:pt idx="7">
                  <c:v>48</c:v>
                </c:pt>
                <c:pt idx="8">
                  <c:v>248</c:v>
                </c:pt>
                <c:pt idx="9">
                  <c:v>117</c:v>
                </c:pt>
                <c:pt idx="10">
                  <c:v>757</c:v>
                </c:pt>
                <c:pt idx="11">
                  <c:v>1007</c:v>
                </c:pt>
                <c:pt idx="12">
                  <c:v>1104</c:v>
                </c:pt>
                <c:pt idx="13">
                  <c:v>1446</c:v>
                </c:pt>
                <c:pt idx="14">
                  <c:v>1475</c:v>
                </c:pt>
                <c:pt idx="15">
                  <c:v>1982</c:v>
                </c:pt>
                <c:pt idx="16">
                  <c:v>1468</c:v>
                </c:pt>
                <c:pt idx="17">
                  <c:v>1323</c:v>
                </c:pt>
                <c:pt idx="18">
                  <c:v>1093</c:v>
                </c:pt>
                <c:pt idx="19">
                  <c:v>1151</c:v>
                </c:pt>
              </c:numCache>
            </c:numRef>
          </c:val>
          <c:smooth val="0"/>
          <c:extLst>
            <c:ext xmlns:c16="http://schemas.microsoft.com/office/drawing/2014/chart" uri="{C3380CC4-5D6E-409C-BE32-E72D297353CC}">
              <c16:uniqueId val="{00000006-9199-46AC-ACC2-78867159E9FC}"/>
            </c:ext>
          </c:extLst>
        </c:ser>
        <c:ser>
          <c:idx val="4"/>
          <c:order val="4"/>
          <c:tx>
            <c:strRef>
              <c:f>'comparators (4)'!$F$41:$F$42</c:f>
              <c:strCache>
                <c:ptCount val="1"/>
                <c:pt idx="0">
                  <c:v>SOUTHPORT AND ORMSKIRK HOSPITAL NHS TRUST</c:v>
                </c:pt>
              </c:strCache>
            </c:strRef>
          </c:tx>
          <c:cat>
            <c:multiLvlStrRef>
              <c:f>'comparators (4)'!$A$43:$A$65</c:f>
              <c:multiLvlStrCache>
                <c:ptCount val="20"/>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lvl>
                <c:lvl>
                  <c:pt idx="0">
                    <c:v>2016-17</c:v>
                  </c:pt>
                  <c:pt idx="12">
                    <c:v>2017-18</c:v>
                  </c:pt>
                </c:lvl>
              </c:multiLvlStrCache>
            </c:multiLvlStrRef>
          </c:cat>
          <c:val>
            <c:numRef>
              <c:f>'comparators (4)'!$F$43:$F$65</c:f>
              <c:numCache>
                <c:formatCode>General</c:formatCode>
                <c:ptCount val="20"/>
                <c:pt idx="0">
                  <c:v>0</c:v>
                </c:pt>
                <c:pt idx="1">
                  <c:v>0</c:v>
                </c:pt>
                <c:pt idx="2">
                  <c:v>0</c:v>
                </c:pt>
                <c:pt idx="3">
                  <c:v>0</c:v>
                </c:pt>
                <c:pt idx="4">
                  <c:v>0</c:v>
                </c:pt>
                <c:pt idx="5">
                  <c:v>8</c:v>
                </c:pt>
                <c:pt idx="6">
                  <c:v>6</c:v>
                </c:pt>
                <c:pt idx="7">
                  <c:v>3</c:v>
                </c:pt>
                <c:pt idx="8">
                  <c:v>0</c:v>
                </c:pt>
                <c:pt idx="9">
                  <c:v>5</c:v>
                </c:pt>
                <c:pt idx="10">
                  <c:v>0</c:v>
                </c:pt>
                <c:pt idx="11">
                  <c:v>0</c:v>
                </c:pt>
                <c:pt idx="12">
                  <c:v>0</c:v>
                </c:pt>
                <c:pt idx="13">
                  <c:v>0</c:v>
                </c:pt>
                <c:pt idx="14">
                  <c:v>0</c:v>
                </c:pt>
                <c:pt idx="15">
                  <c:v>0</c:v>
                </c:pt>
                <c:pt idx="16">
                  <c:v>0</c:v>
                </c:pt>
                <c:pt idx="17">
                  <c:v>0</c:v>
                </c:pt>
                <c:pt idx="18">
                  <c:v>4</c:v>
                </c:pt>
                <c:pt idx="19">
                  <c:v>1</c:v>
                </c:pt>
              </c:numCache>
            </c:numRef>
          </c:val>
          <c:smooth val="0"/>
          <c:extLst>
            <c:ext xmlns:c16="http://schemas.microsoft.com/office/drawing/2014/chart" uri="{C3380CC4-5D6E-409C-BE32-E72D297353CC}">
              <c16:uniqueId val="{00000007-9199-46AC-ACC2-78867159E9FC}"/>
            </c:ext>
          </c:extLst>
        </c:ser>
        <c:ser>
          <c:idx val="5"/>
          <c:order val="5"/>
          <c:tx>
            <c:strRef>
              <c:f>'comparators (4)'!$G$41:$G$42</c:f>
              <c:strCache>
                <c:ptCount val="1"/>
                <c:pt idx="0">
                  <c:v>UNIVERSITY HOSPITALS OF MORECAMBE BAY NHS FOUNDATION TRUST</c:v>
                </c:pt>
              </c:strCache>
            </c:strRef>
          </c:tx>
          <c:cat>
            <c:multiLvlStrRef>
              <c:f>'comparators (4)'!$A$43:$A$65</c:f>
              <c:multiLvlStrCache>
                <c:ptCount val="20"/>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pt idx="12">
                    <c:v>APRIL</c:v>
                  </c:pt>
                  <c:pt idx="13">
                    <c:v>MAY</c:v>
                  </c:pt>
                  <c:pt idx="14">
                    <c:v>JUNE</c:v>
                  </c:pt>
                  <c:pt idx="15">
                    <c:v>JULY</c:v>
                  </c:pt>
                  <c:pt idx="16">
                    <c:v>AUGUST</c:v>
                  </c:pt>
                  <c:pt idx="17">
                    <c:v>SEPTEMBER</c:v>
                  </c:pt>
                  <c:pt idx="18">
                    <c:v>OCTOBER</c:v>
                  </c:pt>
                  <c:pt idx="19">
                    <c:v>NOVEMBER</c:v>
                  </c:pt>
                </c:lvl>
                <c:lvl>
                  <c:pt idx="0">
                    <c:v>2016-17</c:v>
                  </c:pt>
                  <c:pt idx="12">
                    <c:v>2017-18</c:v>
                  </c:pt>
                </c:lvl>
              </c:multiLvlStrCache>
            </c:multiLvlStrRef>
          </c:cat>
          <c:val>
            <c:numRef>
              <c:f>'comparators (4)'!$G$43:$G$65</c:f>
              <c:numCache>
                <c:formatCode>General</c:formatCode>
                <c:ptCount val="20"/>
                <c:pt idx="0">
                  <c:v>89</c:v>
                </c:pt>
                <c:pt idx="1">
                  <c:v>151</c:v>
                </c:pt>
                <c:pt idx="2">
                  <c:v>76</c:v>
                </c:pt>
                <c:pt idx="3">
                  <c:v>94</c:v>
                </c:pt>
                <c:pt idx="4">
                  <c:v>97</c:v>
                </c:pt>
                <c:pt idx="5">
                  <c:v>181</c:v>
                </c:pt>
                <c:pt idx="6">
                  <c:v>82</c:v>
                </c:pt>
                <c:pt idx="7">
                  <c:v>163</c:v>
                </c:pt>
                <c:pt idx="8">
                  <c:v>180</c:v>
                </c:pt>
                <c:pt idx="9">
                  <c:v>146</c:v>
                </c:pt>
                <c:pt idx="10">
                  <c:v>176</c:v>
                </c:pt>
                <c:pt idx="11">
                  <c:v>219</c:v>
                </c:pt>
                <c:pt idx="12">
                  <c:v>131</c:v>
                </c:pt>
                <c:pt idx="13">
                  <c:v>241</c:v>
                </c:pt>
                <c:pt idx="14">
                  <c:v>194</c:v>
                </c:pt>
                <c:pt idx="15">
                  <c:v>147</c:v>
                </c:pt>
                <c:pt idx="16">
                  <c:v>97</c:v>
                </c:pt>
                <c:pt idx="17">
                  <c:v>154</c:v>
                </c:pt>
                <c:pt idx="18">
                  <c:v>202</c:v>
                </c:pt>
                <c:pt idx="19">
                  <c:v>104</c:v>
                </c:pt>
              </c:numCache>
            </c:numRef>
          </c:val>
          <c:smooth val="0"/>
          <c:extLst>
            <c:ext xmlns:c16="http://schemas.microsoft.com/office/drawing/2014/chart" uri="{C3380CC4-5D6E-409C-BE32-E72D297353CC}">
              <c16:uniqueId val="{00000008-9199-46AC-ACC2-78867159E9FC}"/>
            </c:ext>
          </c:extLst>
        </c:ser>
        <c:dLbls>
          <c:showLegendKey val="0"/>
          <c:showVal val="0"/>
          <c:showCatName val="0"/>
          <c:showSerName val="0"/>
          <c:showPercent val="0"/>
          <c:showBubbleSize val="0"/>
        </c:dLbls>
        <c:marker val="1"/>
        <c:smooth val="0"/>
        <c:axId val="166739560"/>
        <c:axId val="167316128"/>
      </c:lineChart>
      <c:catAx>
        <c:axId val="166739560"/>
        <c:scaling>
          <c:orientation val="minMax"/>
        </c:scaling>
        <c:delete val="0"/>
        <c:axPos val="b"/>
        <c:numFmt formatCode="General" sourceLinked="0"/>
        <c:majorTickMark val="out"/>
        <c:minorTickMark val="none"/>
        <c:tickLblPos val="nextTo"/>
        <c:txPr>
          <a:bodyPr/>
          <a:lstStyle/>
          <a:p>
            <a:pPr>
              <a:defRPr sz="800" baseline="0"/>
            </a:pPr>
            <a:endParaRPr lang="en-US"/>
          </a:p>
        </c:txPr>
        <c:crossAx val="167316128"/>
        <c:crosses val="autoZero"/>
        <c:auto val="1"/>
        <c:lblAlgn val="ctr"/>
        <c:lblOffset val="100"/>
        <c:noMultiLvlLbl val="0"/>
      </c:catAx>
      <c:valAx>
        <c:axId val="167316128"/>
        <c:scaling>
          <c:orientation val="minMax"/>
          <c:max val="2000"/>
        </c:scaling>
        <c:delete val="0"/>
        <c:axPos val="l"/>
        <c:majorGridlines/>
        <c:numFmt formatCode="General" sourceLinked="1"/>
        <c:majorTickMark val="out"/>
        <c:minorTickMark val="none"/>
        <c:tickLblPos val="nextTo"/>
        <c:crossAx val="166739560"/>
        <c:crosses val="autoZero"/>
        <c:crossBetween val="between"/>
      </c:valAx>
    </c:plotArea>
    <c:legend>
      <c:legendPos val="b"/>
      <c:overlay val="0"/>
      <c:txPr>
        <a:bodyPr/>
        <a:lstStyle/>
        <a:p>
          <a:pPr>
            <a:defRPr sz="600" baseline="0"/>
          </a:pPr>
          <a:endParaRPr lang="en-US"/>
        </a:p>
      </c:txPr>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AFF59-BD82-4CCE-9C88-F7CE7448E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Template>
  <TotalTime>1</TotalTime>
  <Pages>19</Pages>
  <Words>3388</Words>
  <Characters>19312</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22655</CharactersWithSpaces>
  <SharedDoc>false</SharedDoc>
  <HLinks>
    <vt:vector size="6" baseType="variant">
      <vt:variant>
        <vt:i4>262208</vt:i4>
      </vt:variant>
      <vt:variant>
        <vt:i4>0</vt:i4>
      </vt:variant>
      <vt:variant>
        <vt:i4>0</vt:i4>
      </vt:variant>
      <vt:variant>
        <vt:i4>5</vt:i4>
      </vt:variant>
      <vt:variant>
        <vt:lpwstr>http://intranet.ad.lancscc.net/how-do-i/communications/using-the-county-council-logo/?page=1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Dodd, Marie</dc:creator>
  <cp:keywords/>
  <dc:description/>
  <cp:lastModifiedBy>Paul Robinson</cp:lastModifiedBy>
  <cp:revision>2</cp:revision>
  <cp:lastPrinted>2017-10-19T12:48:00Z</cp:lastPrinted>
  <dcterms:created xsi:type="dcterms:W3CDTF">2018-01-16T15:29:00Z</dcterms:created>
  <dcterms:modified xsi:type="dcterms:W3CDTF">2018-01-16T15:29:00Z</dcterms:modified>
</cp:coreProperties>
</file>